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83F9BA" w14:textId="77777777" w:rsidR="00CF002C" w:rsidRDefault="00CF002C">
      <w:pPr>
        <w:rPr>
          <w:rFonts w:ascii="Arial" w:hAnsi="Arial" w:cs="Arial"/>
          <w:b/>
          <w:bCs/>
          <w:sz w:val="28"/>
          <w:szCs w:val="28"/>
        </w:rPr>
      </w:pPr>
      <w:bookmarkStart w:id="0" w:name="_GoBack"/>
      <w:bookmarkEnd w:id="0"/>
    </w:p>
    <w:p w14:paraId="271008F2" w14:textId="77777777" w:rsidR="00CF002C" w:rsidRDefault="00F22133">
      <w:pPr>
        <w:rPr>
          <w:rFonts w:ascii="Arial" w:hAnsi="Arial" w:cs="Arial"/>
          <w:b/>
          <w:bCs/>
          <w:sz w:val="28"/>
          <w:szCs w:val="28"/>
        </w:rPr>
      </w:pPr>
      <w:r>
        <w:rPr>
          <w:rFonts w:ascii="Arial" w:hAnsi="Arial" w:cs="Arial"/>
          <w:b/>
          <w:bCs/>
          <w:sz w:val="28"/>
          <w:szCs w:val="28"/>
        </w:rPr>
        <w:t>PDWG 14 – 17th October 2019</w:t>
      </w:r>
    </w:p>
    <w:p w14:paraId="2D34047B" w14:textId="77777777" w:rsidR="00CF002C" w:rsidRDefault="00F22133">
      <w:pPr>
        <w:rPr>
          <w:rFonts w:ascii="Arial" w:hAnsi="Arial" w:cs="Arial"/>
          <w:b/>
          <w:bCs/>
          <w:sz w:val="24"/>
          <w:szCs w:val="24"/>
        </w:rPr>
      </w:pPr>
      <w:r>
        <w:rPr>
          <w:rFonts w:ascii="Arial" w:hAnsi="Arial" w:cs="Arial"/>
          <w:b/>
          <w:bCs/>
          <w:sz w:val="24"/>
          <w:szCs w:val="24"/>
        </w:rPr>
        <w:t>HSE Presentation</w:t>
      </w:r>
    </w:p>
    <w:p w14:paraId="3F9CB0FC" w14:textId="77777777" w:rsidR="00CF002C" w:rsidRDefault="00F22133">
      <w:pPr>
        <w:rPr>
          <w:rFonts w:ascii="Arial" w:hAnsi="Arial" w:cs="Arial"/>
          <w:b/>
          <w:bCs/>
          <w:sz w:val="20"/>
          <w:szCs w:val="20"/>
        </w:rPr>
      </w:pPr>
      <w:r>
        <w:rPr>
          <w:rFonts w:ascii="Arial" w:hAnsi="Arial" w:cs="Arial"/>
          <w:b/>
          <w:bCs/>
          <w:sz w:val="20"/>
          <w:szCs w:val="20"/>
        </w:rPr>
        <w:t>Q&amp;A Session</w:t>
      </w:r>
    </w:p>
    <w:p w14:paraId="793E8644" w14:textId="77777777" w:rsidR="00CF002C" w:rsidRDefault="00CF002C">
      <w:pPr>
        <w:rPr>
          <w:rFonts w:ascii="Arial" w:hAnsi="Arial" w:cs="Arial"/>
          <w:b/>
          <w:bCs/>
          <w:sz w:val="20"/>
          <w:szCs w:val="20"/>
        </w:rPr>
      </w:pPr>
    </w:p>
    <w:tbl>
      <w:tblPr>
        <w:tblW w:w="9016" w:type="dxa"/>
        <w:tblCellMar>
          <w:left w:w="10" w:type="dxa"/>
          <w:right w:w="10" w:type="dxa"/>
        </w:tblCellMar>
        <w:tblLook w:val="04A0" w:firstRow="1" w:lastRow="0" w:firstColumn="1" w:lastColumn="0" w:noHBand="0" w:noVBand="1"/>
      </w:tblPr>
      <w:tblGrid>
        <w:gridCol w:w="706"/>
        <w:gridCol w:w="8310"/>
      </w:tblGrid>
      <w:tr w:rsidR="00CF002C" w14:paraId="06257338" w14:textId="77777777">
        <w:trPr>
          <w:trHeight w:val="387"/>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B1CCEC" w14:textId="77777777" w:rsidR="00CF002C" w:rsidRDefault="00CF002C">
            <w:pPr>
              <w:spacing w:after="0" w:line="240" w:lineRule="auto"/>
              <w:rPr>
                <w:rFonts w:ascii="Arial" w:hAnsi="Arial" w:cs="Arial"/>
                <w:b/>
                <w:bCs/>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F5B11" w14:textId="77777777" w:rsidR="00CF002C" w:rsidRDefault="00F22133">
            <w:pPr>
              <w:spacing w:after="0" w:line="240" w:lineRule="auto"/>
              <w:rPr>
                <w:rFonts w:ascii="Arial" w:hAnsi="Arial" w:cs="Arial"/>
                <w:b/>
                <w:bCs/>
                <w:sz w:val="20"/>
                <w:szCs w:val="20"/>
              </w:rPr>
            </w:pPr>
            <w:r>
              <w:rPr>
                <w:rFonts w:ascii="Arial" w:hAnsi="Arial" w:cs="Arial"/>
                <w:b/>
                <w:bCs/>
                <w:sz w:val="20"/>
                <w:szCs w:val="20"/>
              </w:rPr>
              <w:t>Questions</w:t>
            </w:r>
          </w:p>
        </w:tc>
      </w:tr>
      <w:tr w:rsidR="00CF002C" w14:paraId="1A69421C"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C1EF3A" w14:textId="77777777" w:rsidR="00CF002C" w:rsidRDefault="00F22133">
            <w:pPr>
              <w:spacing w:after="0" w:line="240" w:lineRule="auto"/>
              <w:rPr>
                <w:rFonts w:ascii="Arial" w:hAnsi="Arial" w:cs="Arial"/>
                <w:b/>
                <w:bCs/>
                <w:sz w:val="20"/>
                <w:szCs w:val="20"/>
              </w:rPr>
            </w:pPr>
            <w:r>
              <w:rPr>
                <w:rFonts w:ascii="Arial" w:hAnsi="Arial" w:cs="Arial"/>
                <w:b/>
                <w:bCs/>
                <w:sz w:val="20"/>
                <w:szCs w:val="20"/>
              </w:rPr>
              <w:t>1.</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0373A3" w14:textId="77777777" w:rsidR="00CF002C" w:rsidRDefault="00F22133">
            <w:pPr>
              <w:spacing w:after="0" w:line="240" w:lineRule="auto"/>
              <w:rPr>
                <w:rFonts w:ascii="Arial" w:hAnsi="Arial" w:cs="Arial"/>
                <w:b/>
                <w:bCs/>
                <w:sz w:val="20"/>
                <w:szCs w:val="20"/>
              </w:rPr>
            </w:pPr>
            <w:r>
              <w:rPr>
                <w:rFonts w:ascii="Arial" w:hAnsi="Arial" w:cs="Arial"/>
                <w:b/>
                <w:bCs/>
                <w:sz w:val="20"/>
                <w:szCs w:val="20"/>
              </w:rPr>
              <w:t>What happens to the information submitted on the F10 notifications?</w:t>
            </w:r>
          </w:p>
          <w:p w14:paraId="0B781FD1" w14:textId="77777777" w:rsidR="00CF002C" w:rsidRDefault="00CF002C">
            <w:pPr>
              <w:spacing w:after="0" w:line="240" w:lineRule="auto"/>
              <w:rPr>
                <w:rFonts w:ascii="Arial" w:hAnsi="Arial" w:cs="Arial"/>
                <w:b/>
                <w:bCs/>
                <w:sz w:val="20"/>
                <w:szCs w:val="20"/>
              </w:rPr>
            </w:pPr>
          </w:p>
        </w:tc>
      </w:tr>
      <w:tr w:rsidR="00CF002C" w14:paraId="480330C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19F3F4" w14:textId="77777777" w:rsidR="00CF002C" w:rsidRDefault="00CF002C">
            <w:pPr>
              <w:spacing w:after="0" w:line="240" w:lineRule="auto"/>
              <w:rPr>
                <w:rFonts w:ascii="Arial" w:hAnsi="Arial" w:cs="Arial"/>
                <w:b/>
                <w:bCs/>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B0B1EE" w14:textId="77777777" w:rsidR="00CF002C" w:rsidRDefault="00F22133">
            <w:pPr>
              <w:pStyle w:val="ListParagraph"/>
              <w:numPr>
                <w:ilvl w:val="0"/>
                <w:numId w:val="1"/>
              </w:numPr>
              <w:spacing w:after="0" w:line="240" w:lineRule="auto"/>
              <w:rPr>
                <w:rFonts w:ascii="Arial" w:hAnsi="Arial" w:cs="Arial"/>
                <w:b/>
                <w:bCs/>
                <w:sz w:val="20"/>
                <w:szCs w:val="20"/>
              </w:rPr>
            </w:pPr>
            <w:r>
              <w:rPr>
                <w:rFonts w:ascii="Arial" w:hAnsi="Arial" w:cs="Arial"/>
                <w:b/>
                <w:bCs/>
                <w:sz w:val="20"/>
                <w:szCs w:val="20"/>
              </w:rPr>
              <w:t xml:space="preserve">How well are the forms filled in? Do you normally get all the information you require? Are there any lessons learned that you could share around failures to fill the form in correctly – particularly from a large project perspective?  </w:t>
            </w:r>
          </w:p>
          <w:p w14:paraId="06A6CC95" w14:textId="77777777" w:rsidR="00CF002C" w:rsidRDefault="00F22133">
            <w:pPr>
              <w:spacing w:after="0" w:line="240" w:lineRule="auto"/>
              <w:ind w:left="360"/>
              <w:rPr>
                <w:rFonts w:ascii="Arial" w:hAnsi="Arial" w:cs="Arial"/>
                <w:b/>
                <w:bCs/>
                <w:sz w:val="20"/>
                <w:szCs w:val="20"/>
              </w:rPr>
            </w:pPr>
            <w:r>
              <w:rPr>
                <w:rFonts w:ascii="Arial" w:hAnsi="Arial" w:cs="Arial"/>
                <w:b/>
                <w:bCs/>
                <w:sz w:val="20"/>
                <w:szCs w:val="20"/>
              </w:rPr>
              <w:t xml:space="preserve"> </w:t>
            </w:r>
          </w:p>
        </w:tc>
      </w:tr>
      <w:tr w:rsidR="00CF002C" w14:paraId="2B11BF09"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D73AC38" w14:textId="77777777" w:rsidR="00CF002C" w:rsidRDefault="00CF002C">
            <w:pPr>
              <w:spacing w:after="0" w:line="240" w:lineRule="auto"/>
              <w:rPr>
                <w:rFonts w:ascii="Arial" w:hAnsi="Arial" w:cs="Arial"/>
                <w:b/>
                <w:bCs/>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A2BD55" w14:textId="3A111407" w:rsidR="00CF002C" w:rsidRDefault="00F22133">
            <w:pPr>
              <w:pStyle w:val="ListParagraph"/>
              <w:numPr>
                <w:ilvl w:val="0"/>
                <w:numId w:val="1"/>
              </w:numPr>
              <w:spacing w:after="0" w:line="240" w:lineRule="auto"/>
              <w:rPr>
                <w:rFonts w:ascii="Arial" w:hAnsi="Arial" w:cs="Arial"/>
                <w:sz w:val="20"/>
                <w:szCs w:val="20"/>
              </w:rPr>
            </w:pPr>
            <w:r>
              <w:rPr>
                <w:rFonts w:ascii="Arial" w:hAnsi="Arial" w:cs="Arial"/>
                <w:sz w:val="20"/>
                <w:szCs w:val="20"/>
              </w:rPr>
              <w:t>F10 information sits on a Database and is used as a basis for the intervention strategy and to prioritise inspections - Sometimes not all fields are completed in full e</w:t>
            </w:r>
            <w:r w:rsidR="00E75D4E">
              <w:rPr>
                <w:rFonts w:ascii="Arial" w:hAnsi="Arial" w:cs="Arial"/>
                <w:sz w:val="20"/>
                <w:szCs w:val="20"/>
              </w:rPr>
              <w:t>.</w:t>
            </w:r>
            <w:r>
              <w:rPr>
                <w:rFonts w:ascii="Arial" w:hAnsi="Arial" w:cs="Arial"/>
                <w:sz w:val="20"/>
                <w:szCs w:val="20"/>
              </w:rPr>
              <w:t>g</w:t>
            </w:r>
            <w:r w:rsidR="00E75D4E">
              <w:rPr>
                <w:rFonts w:ascii="Arial" w:hAnsi="Arial" w:cs="Arial"/>
                <w:sz w:val="20"/>
                <w:szCs w:val="20"/>
              </w:rPr>
              <w:t>.</w:t>
            </w:r>
            <w:r>
              <w:rPr>
                <w:rFonts w:ascii="Arial" w:hAnsi="Arial" w:cs="Arial"/>
                <w:sz w:val="20"/>
                <w:szCs w:val="20"/>
              </w:rPr>
              <w:t xml:space="preserve"> the Principal Contractor field is often submitted as “TBC”. This will change in the future. New format will be available shortly.</w:t>
            </w:r>
          </w:p>
          <w:p w14:paraId="13462951" w14:textId="77777777" w:rsidR="00CF002C" w:rsidRDefault="00F22133">
            <w:pPr>
              <w:pStyle w:val="ListParagraph"/>
              <w:numPr>
                <w:ilvl w:val="0"/>
                <w:numId w:val="1"/>
              </w:numPr>
              <w:spacing w:after="0" w:line="240" w:lineRule="auto"/>
              <w:rPr>
                <w:rFonts w:ascii="Arial" w:hAnsi="Arial" w:cs="Arial"/>
                <w:sz w:val="20"/>
                <w:szCs w:val="20"/>
              </w:rPr>
            </w:pPr>
            <w:r>
              <w:rPr>
                <w:rFonts w:ascii="Arial" w:hAnsi="Arial" w:cs="Arial"/>
                <w:sz w:val="20"/>
                <w:szCs w:val="20"/>
              </w:rPr>
              <w:t>Primary requirement of F10 is to inform the regulator that construction work is commencing so multiple F10’s are acceptable if more than a single phase of construction e.g. GI survey or stats diversions in advance of main construction works</w:t>
            </w:r>
          </w:p>
          <w:p w14:paraId="05ABCE30" w14:textId="77777777" w:rsidR="00CF002C" w:rsidRDefault="00CF002C">
            <w:pPr>
              <w:spacing w:after="0" w:line="240" w:lineRule="auto"/>
              <w:ind w:left="360"/>
              <w:rPr>
                <w:rFonts w:ascii="Arial" w:hAnsi="Arial" w:cs="Arial"/>
                <w:sz w:val="20"/>
                <w:szCs w:val="20"/>
              </w:rPr>
            </w:pPr>
          </w:p>
        </w:tc>
      </w:tr>
      <w:tr w:rsidR="00CF002C" w14:paraId="1AD0531C"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DA8D91" w14:textId="77777777" w:rsidR="00CF002C" w:rsidRDefault="00F22133">
            <w:pPr>
              <w:spacing w:after="0" w:line="240" w:lineRule="auto"/>
              <w:rPr>
                <w:rFonts w:ascii="Arial" w:hAnsi="Arial" w:cs="Arial"/>
                <w:b/>
                <w:bCs/>
                <w:sz w:val="20"/>
                <w:szCs w:val="20"/>
              </w:rPr>
            </w:pPr>
            <w:r>
              <w:rPr>
                <w:rFonts w:ascii="Arial" w:hAnsi="Arial" w:cs="Arial"/>
                <w:b/>
                <w:bCs/>
                <w:sz w:val="20"/>
                <w:szCs w:val="20"/>
              </w:rPr>
              <w:t>2.</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75D095" w14:textId="77777777" w:rsidR="00CF002C" w:rsidRDefault="00F22133">
            <w:pPr>
              <w:spacing w:after="0" w:line="240" w:lineRule="auto"/>
              <w:rPr>
                <w:rFonts w:ascii="Arial" w:hAnsi="Arial" w:cs="Arial"/>
                <w:b/>
                <w:bCs/>
                <w:sz w:val="20"/>
                <w:szCs w:val="20"/>
              </w:rPr>
            </w:pPr>
            <w:r>
              <w:rPr>
                <w:rFonts w:ascii="Arial" w:hAnsi="Arial" w:cs="Arial"/>
                <w:b/>
                <w:bCs/>
                <w:sz w:val="20"/>
                <w:szCs w:val="20"/>
              </w:rPr>
              <w:t>When in the timeline for a project would you expect an F10 to be submitted (given that Highways England mandate that F10’s be submitted whilst developing a preferred option)?</w:t>
            </w:r>
          </w:p>
          <w:p w14:paraId="43CFED53" w14:textId="77777777" w:rsidR="00CF002C" w:rsidRDefault="00CF002C">
            <w:pPr>
              <w:spacing w:after="0" w:line="240" w:lineRule="auto"/>
              <w:rPr>
                <w:rFonts w:ascii="Arial" w:hAnsi="Arial" w:cs="Arial"/>
                <w:b/>
                <w:bCs/>
                <w:sz w:val="20"/>
                <w:szCs w:val="20"/>
              </w:rPr>
            </w:pPr>
          </w:p>
        </w:tc>
      </w:tr>
      <w:tr w:rsidR="00CF002C" w14:paraId="0DD6F7D7"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11175D" w14:textId="77777777" w:rsidR="00CF002C" w:rsidRDefault="00CF002C">
            <w:pPr>
              <w:spacing w:after="0" w:line="240" w:lineRule="auto"/>
              <w:rPr>
                <w:rFonts w:ascii="Arial" w:hAnsi="Arial" w:cs="Arial"/>
                <w:b/>
                <w:bCs/>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BA1B7C" w14:textId="77777777" w:rsidR="00CF002C" w:rsidRDefault="00F22133">
            <w:pPr>
              <w:pStyle w:val="ListParagraph"/>
              <w:numPr>
                <w:ilvl w:val="0"/>
                <w:numId w:val="1"/>
              </w:numPr>
              <w:spacing w:after="0" w:line="240" w:lineRule="auto"/>
            </w:pPr>
            <w:r>
              <w:rPr>
                <w:rFonts w:ascii="Arial" w:hAnsi="Arial" w:cs="Arial"/>
                <w:sz w:val="20"/>
                <w:szCs w:val="20"/>
              </w:rPr>
              <w:t xml:space="preserve">F10 should only be submitted once PC is known prior to Construction Phase starts – current HE PCF process is wrong as the F10 is required to be produced at Stage 2 (Option Selection) and PC has usually not been appointed at this stage </w:t>
            </w:r>
            <w:r>
              <w:rPr>
                <w:rFonts w:ascii="Arial" w:hAnsi="Arial" w:cs="Arial"/>
                <w:b/>
                <w:bCs/>
                <w:sz w:val="20"/>
                <w:szCs w:val="20"/>
              </w:rPr>
              <w:t>– RW to address.</w:t>
            </w:r>
          </w:p>
          <w:p w14:paraId="6DBD2F92" w14:textId="77777777" w:rsidR="00CF002C" w:rsidRDefault="00CF002C">
            <w:pPr>
              <w:spacing w:after="0" w:line="240" w:lineRule="auto"/>
              <w:ind w:left="360"/>
              <w:rPr>
                <w:rFonts w:ascii="Arial" w:hAnsi="Arial" w:cs="Arial"/>
                <w:b/>
                <w:bCs/>
                <w:sz w:val="20"/>
                <w:szCs w:val="20"/>
              </w:rPr>
            </w:pPr>
          </w:p>
        </w:tc>
      </w:tr>
      <w:tr w:rsidR="00CF002C" w14:paraId="214B593B"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EEBA11" w14:textId="77777777" w:rsidR="00CF002C" w:rsidRDefault="00F22133">
            <w:pPr>
              <w:spacing w:after="0" w:line="240" w:lineRule="auto"/>
              <w:rPr>
                <w:rFonts w:ascii="Arial" w:hAnsi="Arial" w:cs="Arial"/>
                <w:b/>
                <w:bCs/>
                <w:sz w:val="20"/>
                <w:szCs w:val="20"/>
              </w:rPr>
            </w:pPr>
            <w:r>
              <w:rPr>
                <w:rFonts w:ascii="Arial" w:hAnsi="Arial" w:cs="Arial"/>
                <w:b/>
                <w:bCs/>
                <w:sz w:val="20"/>
                <w:szCs w:val="20"/>
              </w:rPr>
              <w:t>3.</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64D22E" w14:textId="77777777" w:rsidR="00CF002C" w:rsidRDefault="00F22133">
            <w:pPr>
              <w:spacing w:after="0" w:line="240" w:lineRule="auto"/>
              <w:rPr>
                <w:rFonts w:ascii="Arial" w:hAnsi="Arial" w:cs="Arial"/>
                <w:b/>
                <w:bCs/>
                <w:sz w:val="20"/>
                <w:szCs w:val="20"/>
              </w:rPr>
            </w:pPr>
            <w:r>
              <w:rPr>
                <w:rFonts w:ascii="Arial" w:hAnsi="Arial" w:cs="Arial"/>
                <w:b/>
                <w:bCs/>
                <w:sz w:val="20"/>
                <w:szCs w:val="20"/>
              </w:rPr>
              <w:t>Will the Hackett Report into Grenfell Tower and the work of the Competency Steering Group result in substantial changes to the CDM regulations in 2020?</w:t>
            </w:r>
          </w:p>
          <w:p w14:paraId="4DDFE46F" w14:textId="77777777" w:rsidR="00CF002C" w:rsidRDefault="00CF002C">
            <w:pPr>
              <w:spacing w:after="0" w:line="240" w:lineRule="auto"/>
              <w:rPr>
                <w:rFonts w:ascii="Arial" w:hAnsi="Arial" w:cs="Arial"/>
                <w:b/>
                <w:bCs/>
                <w:sz w:val="20"/>
                <w:szCs w:val="20"/>
              </w:rPr>
            </w:pPr>
          </w:p>
        </w:tc>
      </w:tr>
      <w:tr w:rsidR="00CF002C" w14:paraId="485772A3"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AAFD48" w14:textId="77777777" w:rsidR="00CF002C" w:rsidRDefault="00CF002C">
            <w:pPr>
              <w:spacing w:after="0" w:line="240" w:lineRule="auto"/>
              <w:rPr>
                <w:rFonts w:ascii="Arial" w:hAnsi="Arial" w:cs="Arial"/>
                <w:b/>
                <w:bCs/>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4C38C9F" w14:textId="77777777" w:rsidR="00CF002C" w:rsidRDefault="00F22133">
            <w:pPr>
              <w:pStyle w:val="ListParagraph"/>
              <w:numPr>
                <w:ilvl w:val="0"/>
                <w:numId w:val="1"/>
              </w:numPr>
              <w:spacing w:after="0" w:line="240" w:lineRule="auto"/>
              <w:rPr>
                <w:rFonts w:ascii="Arial" w:hAnsi="Arial" w:cs="Arial"/>
                <w:sz w:val="20"/>
                <w:szCs w:val="20"/>
              </w:rPr>
            </w:pPr>
            <w:r>
              <w:rPr>
                <w:rFonts w:ascii="Arial" w:hAnsi="Arial" w:cs="Arial"/>
                <w:sz w:val="20"/>
                <w:szCs w:val="20"/>
              </w:rPr>
              <w:t>HSE are actively involved in supporting the Grenfell investigations. There is currently no plan to update CDM in 2020.</w:t>
            </w:r>
          </w:p>
          <w:p w14:paraId="6CF684F4" w14:textId="77777777" w:rsidR="00CF002C" w:rsidRDefault="00CF002C">
            <w:pPr>
              <w:spacing w:after="0" w:line="240" w:lineRule="auto"/>
              <w:rPr>
                <w:rFonts w:ascii="Arial" w:hAnsi="Arial" w:cs="Arial"/>
                <w:b/>
                <w:bCs/>
                <w:sz w:val="20"/>
                <w:szCs w:val="20"/>
              </w:rPr>
            </w:pPr>
          </w:p>
        </w:tc>
      </w:tr>
      <w:tr w:rsidR="00CF002C" w14:paraId="628E3C60"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D5A391" w14:textId="77777777" w:rsidR="00CF002C" w:rsidRDefault="00F22133">
            <w:pPr>
              <w:spacing w:after="0" w:line="240" w:lineRule="auto"/>
              <w:rPr>
                <w:rFonts w:ascii="Arial" w:hAnsi="Arial" w:cs="Arial"/>
                <w:b/>
                <w:bCs/>
                <w:sz w:val="20"/>
                <w:szCs w:val="20"/>
              </w:rPr>
            </w:pPr>
            <w:r>
              <w:rPr>
                <w:rFonts w:ascii="Arial" w:hAnsi="Arial" w:cs="Arial"/>
                <w:b/>
                <w:bCs/>
                <w:sz w:val="20"/>
                <w:szCs w:val="20"/>
              </w:rPr>
              <w:t>4.</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F0CF09"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We assume this will be covered in the presentation – but how do you see CDM developing over the next 5 to 10 years? What are the key areas that need to improve further, or we may see the greatest change in? </w:t>
            </w:r>
          </w:p>
          <w:p w14:paraId="1C43728D" w14:textId="77777777" w:rsidR="00CF002C" w:rsidRDefault="00CF002C">
            <w:pPr>
              <w:spacing w:after="0" w:line="240" w:lineRule="auto"/>
              <w:rPr>
                <w:rFonts w:ascii="Arial" w:hAnsi="Arial" w:cs="Arial"/>
                <w:b/>
                <w:bCs/>
                <w:sz w:val="20"/>
                <w:szCs w:val="20"/>
              </w:rPr>
            </w:pPr>
          </w:p>
        </w:tc>
      </w:tr>
      <w:tr w:rsidR="00CF002C" w14:paraId="7C156F64"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AF0EB6"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7D41BCF" w14:textId="77777777" w:rsidR="00CF002C" w:rsidRDefault="00F22133">
            <w:pPr>
              <w:pStyle w:val="ListParagraph"/>
              <w:numPr>
                <w:ilvl w:val="0"/>
                <w:numId w:val="1"/>
              </w:numPr>
              <w:spacing w:after="0" w:line="240" w:lineRule="auto"/>
            </w:pPr>
            <w:r>
              <w:rPr>
                <w:rFonts w:ascii="Arial" w:hAnsi="Arial" w:cs="Arial"/>
                <w:sz w:val="20"/>
                <w:szCs w:val="20"/>
              </w:rPr>
              <w:t>CDM developments over the next 5-10 years - no legislative changes planned. Therefore, there will not be a “CDM 2020” document. GC considers that there is so much already in the CDM Regs to offer headroom for further improvement within our industry.</w:t>
            </w:r>
          </w:p>
          <w:p w14:paraId="0F3B96D0" w14:textId="77777777" w:rsidR="00CF002C" w:rsidRDefault="00CF002C">
            <w:pPr>
              <w:spacing w:after="0" w:line="240" w:lineRule="auto"/>
              <w:ind w:left="360"/>
              <w:rPr>
                <w:rFonts w:ascii="Arial" w:hAnsi="Arial" w:cs="Arial"/>
                <w:sz w:val="20"/>
                <w:szCs w:val="20"/>
              </w:rPr>
            </w:pPr>
          </w:p>
        </w:tc>
      </w:tr>
      <w:tr w:rsidR="00CF002C" w14:paraId="5CCDA64B" w14:textId="77777777">
        <w:trPr>
          <w:trHeight w:val="617"/>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5F5A9E" w14:textId="77777777" w:rsidR="00CF002C" w:rsidRDefault="00F22133">
            <w:pPr>
              <w:spacing w:after="0" w:line="240" w:lineRule="auto"/>
              <w:rPr>
                <w:rFonts w:ascii="Arial" w:hAnsi="Arial" w:cs="Arial"/>
                <w:b/>
                <w:bCs/>
                <w:sz w:val="20"/>
                <w:szCs w:val="20"/>
              </w:rPr>
            </w:pPr>
            <w:r>
              <w:rPr>
                <w:rFonts w:ascii="Arial" w:hAnsi="Arial" w:cs="Arial"/>
                <w:b/>
                <w:bCs/>
                <w:sz w:val="20"/>
                <w:szCs w:val="20"/>
              </w:rPr>
              <w:t>5.</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245304"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On complex infrastructure projects such as M4SM; HS2 and Lower Thames Crossing </w:t>
            </w:r>
          </w:p>
          <w:p w14:paraId="42917E58" w14:textId="77777777" w:rsidR="00CF002C" w:rsidRDefault="00F22133">
            <w:pPr>
              <w:pStyle w:val="ListParagraph"/>
              <w:numPr>
                <w:ilvl w:val="0"/>
                <w:numId w:val="2"/>
              </w:numPr>
              <w:spacing w:after="0" w:line="240" w:lineRule="auto"/>
              <w:ind w:left="555"/>
              <w:rPr>
                <w:rFonts w:ascii="Arial" w:hAnsi="Arial" w:cs="Arial"/>
                <w:b/>
                <w:bCs/>
                <w:sz w:val="20"/>
                <w:szCs w:val="20"/>
              </w:rPr>
            </w:pPr>
            <w:r>
              <w:rPr>
                <w:rFonts w:ascii="Arial" w:hAnsi="Arial" w:cs="Arial"/>
                <w:b/>
                <w:bCs/>
                <w:sz w:val="20"/>
                <w:szCs w:val="20"/>
              </w:rPr>
              <w:t>Can HSE provide their thoughts on the issues Principal Designers have, when we end up potentially dealing with multiple Clients, commonly when diverting major services, often over long durations, as there is often an overlap of Principal Contractor, Client and Principal Designer Duties?</w:t>
            </w:r>
          </w:p>
          <w:p w14:paraId="62A8D128" w14:textId="77777777" w:rsidR="00CF002C" w:rsidRDefault="00CF002C">
            <w:pPr>
              <w:spacing w:after="0" w:line="240" w:lineRule="auto"/>
              <w:ind w:left="555"/>
              <w:rPr>
                <w:rFonts w:ascii="Arial" w:hAnsi="Arial" w:cs="Arial"/>
                <w:b/>
                <w:bCs/>
                <w:sz w:val="20"/>
                <w:szCs w:val="20"/>
              </w:rPr>
            </w:pPr>
          </w:p>
          <w:p w14:paraId="016CC78C"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     b. Could / should in your view only one party have the overarching coordination</w:t>
            </w:r>
          </w:p>
          <w:p w14:paraId="452FFB6F" w14:textId="77777777" w:rsidR="00CF002C" w:rsidRDefault="00F22133">
            <w:pPr>
              <w:spacing w:after="0" w:line="240" w:lineRule="auto"/>
            </w:pPr>
            <w:r>
              <w:lastRenderedPageBreak/>
              <w:t xml:space="preserve">     </w:t>
            </w:r>
            <w:r>
              <w:rPr>
                <w:b/>
                <w:bCs/>
              </w:rPr>
              <w:t>responsibility?</w:t>
            </w:r>
          </w:p>
        </w:tc>
      </w:tr>
      <w:tr w:rsidR="00CF002C" w14:paraId="713D4F82" w14:textId="77777777">
        <w:trPr>
          <w:trHeight w:val="759"/>
        </w:trPr>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716FCC" w14:textId="77777777" w:rsidR="00CF002C" w:rsidRDefault="00CF002C">
            <w:pPr>
              <w:spacing w:after="0" w:line="240" w:lineRule="auto"/>
              <w:rPr>
                <w:rFonts w:ascii="Arial" w:hAnsi="Arial" w:cs="Arial"/>
                <w:b/>
                <w:bCs/>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DADC2C" w14:textId="77777777" w:rsidR="00CF002C" w:rsidRDefault="00F22133">
            <w:pPr>
              <w:pStyle w:val="ListParagraph"/>
              <w:numPr>
                <w:ilvl w:val="0"/>
                <w:numId w:val="1"/>
              </w:numPr>
              <w:spacing w:after="0" w:line="240" w:lineRule="auto"/>
              <w:rPr>
                <w:rFonts w:ascii="Arial" w:hAnsi="Arial" w:cs="Arial"/>
                <w:sz w:val="20"/>
                <w:szCs w:val="20"/>
              </w:rPr>
            </w:pPr>
            <w:r>
              <w:rPr>
                <w:rFonts w:ascii="Arial" w:hAnsi="Arial" w:cs="Arial"/>
                <w:sz w:val="20"/>
                <w:szCs w:val="20"/>
              </w:rPr>
              <w:t>Clients/multiple clients on complex projects - GC would encourage one client taking responsibility.  Especially in the context of utilities.</w:t>
            </w:r>
          </w:p>
        </w:tc>
      </w:tr>
      <w:tr w:rsidR="00CF002C" w14:paraId="2BD11BB8"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203206"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6. </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2BFD80"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Pre-construction information        </w:t>
            </w:r>
          </w:p>
          <w:p w14:paraId="40A8F1DD"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               The size and scale of PCI can become vast on complex projects. </w:t>
            </w:r>
          </w:p>
          <w:p w14:paraId="2C538760" w14:textId="77777777" w:rsidR="00CF002C" w:rsidRDefault="00F22133">
            <w:pPr>
              <w:spacing w:after="0" w:line="240" w:lineRule="auto"/>
              <w:ind w:left="720"/>
              <w:rPr>
                <w:rFonts w:ascii="Arial" w:hAnsi="Arial" w:cs="Arial"/>
                <w:b/>
                <w:bCs/>
                <w:sz w:val="20"/>
                <w:szCs w:val="20"/>
              </w:rPr>
            </w:pPr>
            <w:r>
              <w:rPr>
                <w:rFonts w:ascii="Arial" w:hAnsi="Arial" w:cs="Arial"/>
                <w:b/>
                <w:bCs/>
                <w:sz w:val="20"/>
                <w:szCs w:val="20"/>
              </w:rPr>
              <w:t xml:space="preserve"> - How should the liability of missing key information due to the duty holders not reviewing the information be managed?</w:t>
            </w:r>
          </w:p>
          <w:p w14:paraId="1B7D2A6B" w14:textId="77777777" w:rsidR="00CF002C" w:rsidRDefault="00CF002C">
            <w:pPr>
              <w:spacing w:after="0" w:line="240" w:lineRule="auto"/>
              <w:ind w:left="720"/>
              <w:rPr>
                <w:rFonts w:ascii="Arial" w:hAnsi="Arial" w:cs="Arial"/>
                <w:b/>
                <w:bCs/>
                <w:sz w:val="20"/>
                <w:szCs w:val="20"/>
              </w:rPr>
            </w:pPr>
          </w:p>
        </w:tc>
      </w:tr>
      <w:tr w:rsidR="00CF002C" w14:paraId="72338D00"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13B50"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ED1AE4" w14:textId="77777777" w:rsidR="00CF002C" w:rsidRDefault="00F22133">
            <w:pPr>
              <w:pStyle w:val="ListParagraph"/>
              <w:numPr>
                <w:ilvl w:val="0"/>
                <w:numId w:val="1"/>
              </w:numPr>
              <w:spacing w:after="0" w:line="240" w:lineRule="auto"/>
            </w:pPr>
            <w:r>
              <w:rPr>
                <w:rFonts w:ascii="Arial" w:hAnsi="Arial" w:cs="Arial"/>
                <w:sz w:val="20"/>
                <w:szCs w:val="20"/>
              </w:rPr>
              <w:t xml:space="preserve">For PCI HSE would expect the PD to undertake gap analysis of client PCI.  Liability for missing information? HSE apply the “concept of reasonableness” PD responsibility to collate and identify gaps, but Client must finance and resource the provision of information to fill the gaps.  </w:t>
            </w:r>
          </w:p>
          <w:p w14:paraId="542D8AD2" w14:textId="77777777" w:rsidR="00CF002C" w:rsidRDefault="00CF002C">
            <w:pPr>
              <w:spacing w:after="0" w:line="240" w:lineRule="auto"/>
              <w:ind w:left="360"/>
              <w:rPr>
                <w:rFonts w:ascii="Arial" w:hAnsi="Arial" w:cs="Arial"/>
                <w:sz w:val="20"/>
                <w:szCs w:val="20"/>
              </w:rPr>
            </w:pPr>
          </w:p>
        </w:tc>
      </w:tr>
      <w:tr w:rsidR="00CF002C" w14:paraId="31D386EE"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B53CB9" w14:textId="77777777" w:rsidR="00CF002C" w:rsidRDefault="00F22133">
            <w:pPr>
              <w:spacing w:after="0" w:line="240" w:lineRule="auto"/>
              <w:rPr>
                <w:rFonts w:ascii="Arial" w:hAnsi="Arial" w:cs="Arial"/>
                <w:b/>
                <w:bCs/>
                <w:sz w:val="20"/>
                <w:szCs w:val="20"/>
              </w:rPr>
            </w:pPr>
            <w:r>
              <w:rPr>
                <w:rFonts w:ascii="Arial" w:hAnsi="Arial" w:cs="Arial"/>
                <w:b/>
                <w:bCs/>
                <w:sz w:val="20"/>
                <w:szCs w:val="20"/>
              </w:rPr>
              <w:t>7.</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E76BA2" w14:textId="77777777" w:rsidR="00CF002C" w:rsidRDefault="00F22133">
            <w:pPr>
              <w:spacing w:after="0" w:line="240" w:lineRule="auto"/>
              <w:rPr>
                <w:rFonts w:ascii="Arial" w:hAnsi="Arial" w:cs="Arial"/>
                <w:b/>
                <w:bCs/>
                <w:sz w:val="20"/>
                <w:szCs w:val="20"/>
              </w:rPr>
            </w:pPr>
            <w:r>
              <w:rPr>
                <w:rFonts w:ascii="Arial" w:hAnsi="Arial" w:cs="Arial"/>
                <w:b/>
                <w:bCs/>
                <w:sz w:val="20"/>
                <w:szCs w:val="20"/>
              </w:rPr>
              <w:t>The guidance on content of the Pre-Construction Information and Construction Phase Plan (which were included in Appendices 2 and 3 respectively of the CDM 2007 Regulations) were very useful – is there any intention of reintroducing these?</w:t>
            </w:r>
          </w:p>
          <w:p w14:paraId="4E190B4E" w14:textId="77777777" w:rsidR="00CF002C" w:rsidRDefault="00CF002C">
            <w:pPr>
              <w:spacing w:after="0" w:line="240" w:lineRule="auto"/>
              <w:rPr>
                <w:rFonts w:ascii="Arial" w:hAnsi="Arial" w:cs="Arial"/>
                <w:b/>
                <w:bCs/>
                <w:sz w:val="20"/>
                <w:szCs w:val="20"/>
              </w:rPr>
            </w:pPr>
          </w:p>
        </w:tc>
      </w:tr>
      <w:tr w:rsidR="00CF002C" w14:paraId="177F2A85"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EC18E7"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84117C" w14:textId="77777777" w:rsidR="00CF002C" w:rsidRDefault="00F22133">
            <w:pPr>
              <w:pStyle w:val="ListParagraph"/>
              <w:numPr>
                <w:ilvl w:val="0"/>
                <w:numId w:val="1"/>
              </w:numPr>
              <w:spacing w:after="0" w:line="240" w:lineRule="auto"/>
            </w:pPr>
            <w:r>
              <w:rPr>
                <w:rFonts w:ascii="Arial" w:hAnsi="Arial" w:cs="Arial"/>
                <w:sz w:val="20"/>
                <w:szCs w:val="20"/>
              </w:rPr>
              <w:t xml:space="preserve">Appendices can be provided by HSE again if they would be useful – it was agreed that would be a good move. </w:t>
            </w:r>
            <w:r>
              <w:rPr>
                <w:rFonts w:ascii="Arial" w:hAnsi="Arial" w:cs="Arial"/>
                <w:b/>
                <w:bCs/>
                <w:sz w:val="20"/>
                <w:szCs w:val="20"/>
              </w:rPr>
              <w:t>GC Action</w:t>
            </w:r>
          </w:p>
          <w:p w14:paraId="5B9FAB65" w14:textId="77777777" w:rsidR="00CF002C" w:rsidRDefault="00CF002C">
            <w:pPr>
              <w:spacing w:after="0" w:line="240" w:lineRule="auto"/>
              <w:ind w:left="360"/>
              <w:rPr>
                <w:rFonts w:ascii="Arial" w:hAnsi="Arial" w:cs="Arial"/>
                <w:sz w:val="20"/>
                <w:szCs w:val="20"/>
              </w:rPr>
            </w:pPr>
          </w:p>
        </w:tc>
      </w:tr>
      <w:tr w:rsidR="00CF002C" w14:paraId="1379576C"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8EE838" w14:textId="77777777" w:rsidR="00CF002C" w:rsidRDefault="00F22133">
            <w:pPr>
              <w:spacing w:after="0" w:line="240" w:lineRule="auto"/>
              <w:rPr>
                <w:rFonts w:ascii="Arial" w:hAnsi="Arial" w:cs="Arial"/>
                <w:b/>
                <w:bCs/>
                <w:sz w:val="20"/>
                <w:szCs w:val="20"/>
              </w:rPr>
            </w:pPr>
            <w:r>
              <w:rPr>
                <w:rFonts w:ascii="Arial" w:hAnsi="Arial" w:cs="Arial"/>
                <w:b/>
                <w:bCs/>
                <w:sz w:val="20"/>
                <w:szCs w:val="20"/>
              </w:rPr>
              <w:t>8.</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6F4CC9" w14:textId="77777777" w:rsidR="00CF002C" w:rsidRDefault="00F22133">
            <w:pPr>
              <w:spacing w:after="0" w:line="240" w:lineRule="auto"/>
            </w:pPr>
            <w:r>
              <w:rPr>
                <w:rFonts w:ascii="Arial" w:hAnsi="Arial" w:cs="Arial"/>
                <w:b/>
                <w:bCs/>
                <w:sz w:val="20"/>
                <w:szCs w:val="20"/>
              </w:rPr>
              <w:t xml:space="preserve">What would the HSE expect to see from a Principal Designer organisation to demonstrate that they have </w:t>
            </w:r>
            <w:r>
              <w:rPr>
                <w:rFonts w:ascii="Arial" w:hAnsi="Arial" w:cs="Arial"/>
                <w:b/>
                <w:bCs/>
                <w:sz w:val="20"/>
                <w:szCs w:val="20"/>
                <w:shd w:val="clear" w:color="auto" w:fill="FFFF00"/>
              </w:rPr>
              <w:t>ensured</w:t>
            </w:r>
            <w:r>
              <w:rPr>
                <w:rFonts w:ascii="Arial" w:hAnsi="Arial" w:cs="Arial"/>
                <w:b/>
                <w:bCs/>
                <w:sz w:val="20"/>
                <w:szCs w:val="20"/>
              </w:rPr>
              <w:t xml:space="preserve"> all designers are complying with Reg 9. </w:t>
            </w:r>
          </w:p>
          <w:p w14:paraId="3DE1ADCF" w14:textId="77777777" w:rsidR="00CF002C" w:rsidRDefault="00F22133">
            <w:pPr>
              <w:pStyle w:val="ListParagraph"/>
              <w:numPr>
                <w:ilvl w:val="0"/>
                <w:numId w:val="1"/>
              </w:numPr>
              <w:spacing w:after="0" w:line="240" w:lineRule="auto"/>
              <w:rPr>
                <w:rFonts w:ascii="Arial" w:hAnsi="Arial" w:cs="Arial"/>
                <w:b/>
                <w:bCs/>
                <w:sz w:val="20"/>
                <w:szCs w:val="20"/>
              </w:rPr>
            </w:pPr>
            <w:r>
              <w:rPr>
                <w:rFonts w:ascii="Arial" w:hAnsi="Arial" w:cs="Arial"/>
                <w:b/>
                <w:bCs/>
                <w:sz w:val="20"/>
                <w:szCs w:val="20"/>
              </w:rPr>
              <w:t>Particularly on projects which have multiple design organisations and overseas designers?</w:t>
            </w:r>
          </w:p>
          <w:p w14:paraId="15D5C288" w14:textId="77777777" w:rsidR="00CF002C" w:rsidRDefault="00F22133">
            <w:pPr>
              <w:pStyle w:val="ListParagraph"/>
              <w:numPr>
                <w:ilvl w:val="0"/>
                <w:numId w:val="1"/>
              </w:numPr>
              <w:spacing w:after="0" w:line="240" w:lineRule="auto"/>
              <w:rPr>
                <w:rFonts w:ascii="Arial" w:hAnsi="Arial" w:cs="Arial"/>
                <w:b/>
                <w:bCs/>
                <w:sz w:val="20"/>
                <w:szCs w:val="20"/>
              </w:rPr>
            </w:pPr>
            <w:r>
              <w:rPr>
                <w:rFonts w:ascii="Arial" w:hAnsi="Arial" w:cs="Arial"/>
                <w:b/>
                <w:bCs/>
                <w:sz w:val="20"/>
                <w:szCs w:val="20"/>
              </w:rPr>
              <w:t>And similarly, on complex design and build projects?</w:t>
            </w:r>
          </w:p>
          <w:p w14:paraId="44949733" w14:textId="77777777" w:rsidR="00CF002C" w:rsidRDefault="00CF002C">
            <w:pPr>
              <w:spacing w:after="0" w:line="240" w:lineRule="auto"/>
              <w:ind w:left="360"/>
              <w:rPr>
                <w:rFonts w:ascii="Arial" w:hAnsi="Arial" w:cs="Arial"/>
                <w:b/>
                <w:bCs/>
                <w:sz w:val="20"/>
                <w:szCs w:val="20"/>
              </w:rPr>
            </w:pPr>
          </w:p>
        </w:tc>
      </w:tr>
      <w:tr w:rsidR="00CF002C" w14:paraId="57C536D8"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1B802F"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115C86" w14:textId="77777777" w:rsidR="00CF002C" w:rsidRDefault="00F2213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HSE would expect due diligence of design organisations to ensure requirements of Reg 9 and 10 are fulfilled.  The CDM Regs require the PD to plan, manage and monitor and there should be a plan in place for this to provide the appropriate controls.  </w:t>
            </w:r>
          </w:p>
          <w:p w14:paraId="4017452A" w14:textId="77777777" w:rsidR="00CF002C" w:rsidRDefault="00CF002C">
            <w:pPr>
              <w:spacing w:after="0" w:line="240" w:lineRule="auto"/>
              <w:ind w:left="360"/>
              <w:rPr>
                <w:rFonts w:ascii="Arial" w:hAnsi="Arial" w:cs="Arial"/>
                <w:sz w:val="20"/>
                <w:szCs w:val="20"/>
              </w:rPr>
            </w:pPr>
          </w:p>
        </w:tc>
      </w:tr>
      <w:tr w:rsidR="00CF002C" w14:paraId="518F4763"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D5ED76" w14:textId="77777777" w:rsidR="00CF002C" w:rsidRDefault="00F22133">
            <w:pPr>
              <w:spacing w:after="0" w:line="240" w:lineRule="auto"/>
              <w:rPr>
                <w:rFonts w:ascii="Arial" w:hAnsi="Arial" w:cs="Arial"/>
                <w:b/>
                <w:bCs/>
                <w:sz w:val="20"/>
                <w:szCs w:val="20"/>
              </w:rPr>
            </w:pPr>
            <w:r>
              <w:rPr>
                <w:rFonts w:ascii="Arial" w:hAnsi="Arial" w:cs="Arial"/>
                <w:b/>
                <w:bCs/>
                <w:sz w:val="20"/>
                <w:szCs w:val="20"/>
              </w:rPr>
              <w:t>9.</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039E6A" w14:textId="1ADAEDB4" w:rsidR="00CF002C" w:rsidRDefault="00F22133">
            <w:pPr>
              <w:spacing w:after="0" w:line="240" w:lineRule="auto"/>
              <w:rPr>
                <w:rFonts w:ascii="Arial" w:hAnsi="Arial" w:cs="Arial"/>
                <w:b/>
                <w:bCs/>
                <w:sz w:val="20"/>
                <w:szCs w:val="20"/>
              </w:rPr>
            </w:pPr>
            <w:r>
              <w:rPr>
                <w:rFonts w:ascii="Arial" w:hAnsi="Arial" w:cs="Arial"/>
                <w:b/>
                <w:bCs/>
                <w:sz w:val="20"/>
                <w:szCs w:val="20"/>
              </w:rPr>
              <w:t>The Client has specific duties under the Regs. Many Clients are not construction professionals and hence look to parties such as ourselves</w:t>
            </w:r>
            <w:r w:rsidR="003307F3">
              <w:rPr>
                <w:rFonts w:ascii="Arial" w:hAnsi="Arial" w:cs="Arial"/>
                <w:b/>
                <w:bCs/>
                <w:sz w:val="20"/>
                <w:szCs w:val="20"/>
              </w:rPr>
              <w:t>,</w:t>
            </w:r>
            <w:r>
              <w:rPr>
                <w:rFonts w:ascii="Arial" w:hAnsi="Arial" w:cs="Arial"/>
                <w:b/>
                <w:bCs/>
                <w:sz w:val="20"/>
                <w:szCs w:val="20"/>
              </w:rPr>
              <w:t xml:space="preserve"> to assist them with their duties. How does the HSE view this, when Clients expect either the PD to do this in addition or appoint a separate consult?</w:t>
            </w:r>
          </w:p>
          <w:p w14:paraId="02E0F41F" w14:textId="77777777" w:rsidR="00CF002C" w:rsidRDefault="00F22133">
            <w:pPr>
              <w:pStyle w:val="ListParagraph"/>
              <w:numPr>
                <w:ilvl w:val="0"/>
                <w:numId w:val="1"/>
              </w:numPr>
              <w:spacing w:after="0" w:line="240" w:lineRule="auto"/>
              <w:rPr>
                <w:rFonts w:ascii="Arial" w:hAnsi="Arial" w:cs="Arial"/>
                <w:b/>
                <w:bCs/>
                <w:sz w:val="20"/>
                <w:szCs w:val="20"/>
              </w:rPr>
            </w:pPr>
            <w:r>
              <w:rPr>
                <w:rFonts w:ascii="Arial" w:hAnsi="Arial" w:cs="Arial"/>
                <w:b/>
                <w:bCs/>
                <w:sz w:val="20"/>
                <w:szCs w:val="20"/>
              </w:rPr>
              <w:t>On occasion this can include advice on sufficiency of time and other resources which can be contentious and difficult to assess</w:t>
            </w:r>
          </w:p>
          <w:p w14:paraId="0B01F1CD" w14:textId="77777777" w:rsidR="00CF002C" w:rsidRDefault="00CF002C">
            <w:pPr>
              <w:spacing w:after="0" w:line="240" w:lineRule="auto"/>
              <w:rPr>
                <w:rFonts w:ascii="Arial" w:hAnsi="Arial" w:cs="Arial"/>
                <w:b/>
                <w:bCs/>
                <w:sz w:val="20"/>
                <w:szCs w:val="20"/>
              </w:rPr>
            </w:pPr>
          </w:p>
          <w:p w14:paraId="64A60EB6" w14:textId="77777777" w:rsidR="00CF002C" w:rsidRDefault="00CF002C">
            <w:pPr>
              <w:spacing w:after="0" w:line="240" w:lineRule="auto"/>
              <w:rPr>
                <w:rFonts w:ascii="Arial" w:hAnsi="Arial" w:cs="Arial"/>
                <w:b/>
                <w:bCs/>
                <w:sz w:val="20"/>
                <w:szCs w:val="20"/>
              </w:rPr>
            </w:pPr>
          </w:p>
        </w:tc>
      </w:tr>
      <w:tr w:rsidR="00CF002C" w14:paraId="1B93245F"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B27796"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A26811" w14:textId="77777777" w:rsidR="00CF002C" w:rsidRDefault="00F22133">
            <w:pPr>
              <w:pStyle w:val="ListParagraph"/>
              <w:numPr>
                <w:ilvl w:val="0"/>
                <w:numId w:val="1"/>
              </w:numPr>
              <w:spacing w:after="0" w:line="240" w:lineRule="auto"/>
              <w:rPr>
                <w:rFonts w:ascii="Arial" w:hAnsi="Arial" w:cs="Arial"/>
                <w:sz w:val="20"/>
                <w:szCs w:val="20"/>
              </w:rPr>
            </w:pPr>
            <w:r>
              <w:rPr>
                <w:rFonts w:ascii="Arial" w:hAnsi="Arial" w:cs="Arial"/>
                <w:sz w:val="20"/>
                <w:szCs w:val="20"/>
              </w:rPr>
              <w:t>Clients need a better understanding of their duties and CDM requirements in general.  HSE need to engage with Clients more in the future.</w:t>
            </w:r>
          </w:p>
          <w:p w14:paraId="467F4552" w14:textId="77777777" w:rsidR="00CF002C" w:rsidRDefault="00CF002C">
            <w:pPr>
              <w:spacing w:after="0" w:line="240" w:lineRule="auto"/>
              <w:ind w:left="360"/>
              <w:rPr>
                <w:rFonts w:ascii="Arial" w:hAnsi="Arial" w:cs="Arial"/>
                <w:sz w:val="20"/>
                <w:szCs w:val="20"/>
              </w:rPr>
            </w:pPr>
          </w:p>
        </w:tc>
      </w:tr>
      <w:tr w:rsidR="00CF002C" w14:paraId="3BF87E11"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E71239"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10. </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9B2FA03"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It is noted that CDM 2015 Guidance Note 45 (reproduced below) emphasises that a Health &amp; Safety File is only required for projects involving more than one contractor.  Whilst the majority of construction projects will involve multiple contractors there may be instances of single contractor works (for example electrical upgrade works or an intrusive ground investigation) where there is currently no requirement for a Health &amp; Safety File to be produced.  This does not appear logical or appropriate as surely every construction project should have a Health &amp; Safety File, so that the relevant health and safety information is recorded, stored and passed on to future designers and contractors, so that they are aware of any residual hazards which will need to be managed?  </w:t>
            </w:r>
          </w:p>
          <w:p w14:paraId="022E0EC0" w14:textId="77777777" w:rsidR="00CF002C" w:rsidRDefault="00CF002C">
            <w:pPr>
              <w:spacing w:after="0" w:line="240" w:lineRule="auto"/>
              <w:rPr>
                <w:rFonts w:ascii="Arial" w:hAnsi="Arial" w:cs="Arial"/>
                <w:b/>
                <w:bCs/>
                <w:sz w:val="20"/>
                <w:szCs w:val="20"/>
              </w:rPr>
            </w:pPr>
          </w:p>
        </w:tc>
      </w:tr>
      <w:tr w:rsidR="00CF002C" w14:paraId="06EA119A"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9335C" w14:textId="77777777" w:rsidR="00CF002C" w:rsidRDefault="00CF002C">
            <w:pPr>
              <w:spacing w:after="0" w:line="240" w:lineRule="auto"/>
              <w:rPr>
                <w:rFonts w:ascii="Arial" w:hAnsi="Arial" w:cs="Arial"/>
                <w:b/>
                <w:bCs/>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043174" w14:textId="77777777" w:rsidR="00CF002C" w:rsidRDefault="00F22133">
            <w:pPr>
              <w:spacing w:after="0" w:line="240" w:lineRule="auto"/>
            </w:pPr>
            <w:r>
              <w:rPr>
                <w:rFonts w:ascii="Arial" w:hAnsi="Arial" w:cs="Arial"/>
                <w:b/>
                <w:bCs/>
                <w:noProof/>
                <w:sz w:val="20"/>
                <w:szCs w:val="20"/>
              </w:rPr>
              <w:drawing>
                <wp:inline distT="0" distB="0" distL="0" distR="0" wp14:anchorId="5E28A90B" wp14:editId="58E9FB2A">
                  <wp:extent cx="4999994" cy="1171575"/>
                  <wp:effectExtent l="0" t="0" r="0" b="9525"/>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4999994" cy="1171575"/>
                          </a:xfrm>
                          <a:prstGeom prst="rect">
                            <a:avLst/>
                          </a:prstGeom>
                          <a:noFill/>
                          <a:ln>
                            <a:noFill/>
                            <a:prstDash/>
                          </a:ln>
                        </pic:spPr>
                      </pic:pic>
                    </a:graphicData>
                  </a:graphic>
                </wp:inline>
              </w:drawing>
            </w:r>
          </w:p>
        </w:tc>
      </w:tr>
      <w:tr w:rsidR="00CF002C" w14:paraId="75EC87D1"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B1E7FB"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7A60" w14:textId="3E7625BE" w:rsidR="00CF002C" w:rsidRDefault="002B5B19">
            <w:pPr>
              <w:spacing w:after="0" w:line="240" w:lineRule="auto"/>
            </w:pPr>
            <w:r>
              <w:t>It was confirmed that even in this scenario there would be a requirement to capture safety related data and this should be included within an O&amp;M manual at the very least.</w:t>
            </w:r>
          </w:p>
        </w:tc>
      </w:tr>
      <w:tr w:rsidR="00CF002C" w14:paraId="68FFE115"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23600E" w14:textId="77777777" w:rsidR="00CF002C" w:rsidRDefault="00F22133">
            <w:pPr>
              <w:spacing w:after="0" w:line="240" w:lineRule="auto"/>
              <w:rPr>
                <w:rFonts w:ascii="Arial" w:hAnsi="Arial" w:cs="Arial"/>
                <w:b/>
                <w:bCs/>
                <w:sz w:val="20"/>
                <w:szCs w:val="20"/>
              </w:rPr>
            </w:pPr>
            <w:r>
              <w:rPr>
                <w:rFonts w:ascii="Arial" w:hAnsi="Arial" w:cs="Arial"/>
                <w:b/>
                <w:bCs/>
                <w:sz w:val="20"/>
                <w:szCs w:val="20"/>
              </w:rPr>
              <w:t>11.</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28A7C3" w14:textId="77777777" w:rsidR="00CF002C" w:rsidRDefault="00F22133">
            <w:pPr>
              <w:spacing w:after="0" w:line="240" w:lineRule="auto"/>
              <w:rPr>
                <w:rFonts w:ascii="Arial" w:hAnsi="Arial" w:cs="Arial"/>
                <w:b/>
                <w:bCs/>
                <w:sz w:val="20"/>
                <w:szCs w:val="20"/>
              </w:rPr>
            </w:pPr>
            <w:r>
              <w:rPr>
                <w:rFonts w:ascii="Arial" w:hAnsi="Arial" w:cs="Arial"/>
                <w:b/>
                <w:bCs/>
                <w:sz w:val="20"/>
                <w:szCs w:val="20"/>
              </w:rPr>
              <w:t xml:space="preserve">The Regulations give no clear guidance on timescale for production and handover of the H&amp;S File to the client, for this referring only to “….at the end of the project.…” a vagueness which is then open to interpretation and can give rise to problems at handover. Could this be made more emphatic? </w:t>
            </w:r>
          </w:p>
          <w:p w14:paraId="78B8EA42" w14:textId="77777777" w:rsidR="00CF002C" w:rsidRDefault="00CF002C">
            <w:pPr>
              <w:spacing w:after="0" w:line="240" w:lineRule="auto"/>
              <w:rPr>
                <w:rFonts w:ascii="Arial" w:hAnsi="Arial" w:cs="Arial"/>
                <w:b/>
                <w:bCs/>
                <w:sz w:val="20"/>
                <w:szCs w:val="20"/>
              </w:rPr>
            </w:pPr>
          </w:p>
        </w:tc>
      </w:tr>
      <w:tr w:rsidR="00CF002C" w14:paraId="3CEBC69A" w14:textId="77777777" w:rsidTr="00E75D4E">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6ACD41"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50FC4D" w14:textId="6BD58A66" w:rsidR="00E75D4E" w:rsidRPr="003307F3" w:rsidRDefault="00E75D4E">
            <w:pPr>
              <w:spacing w:after="0" w:line="240" w:lineRule="auto"/>
              <w:rPr>
                <w:rFonts w:ascii="Arial" w:hAnsi="Arial" w:cs="Arial"/>
                <w:sz w:val="20"/>
                <w:szCs w:val="20"/>
              </w:rPr>
            </w:pPr>
            <w:r w:rsidRPr="003307F3">
              <w:rPr>
                <w:rFonts w:ascii="Arial" w:hAnsi="Arial" w:cs="Arial"/>
                <w:sz w:val="20"/>
                <w:szCs w:val="20"/>
              </w:rPr>
              <w:t>HSE commented that Health and Safety Files are an area of concern in terms of content and quality and the information does not always get communicated to those who need it.</w:t>
            </w:r>
          </w:p>
        </w:tc>
      </w:tr>
      <w:tr w:rsidR="00CF002C" w14:paraId="6EE112B6"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2ED75D" w14:textId="77777777" w:rsidR="00CF002C" w:rsidRDefault="00F22133">
            <w:pPr>
              <w:spacing w:after="0" w:line="240" w:lineRule="auto"/>
              <w:rPr>
                <w:rFonts w:ascii="Arial" w:hAnsi="Arial" w:cs="Arial"/>
                <w:b/>
                <w:bCs/>
                <w:sz w:val="20"/>
                <w:szCs w:val="20"/>
              </w:rPr>
            </w:pPr>
            <w:r>
              <w:rPr>
                <w:rFonts w:ascii="Arial" w:hAnsi="Arial" w:cs="Arial"/>
                <w:b/>
                <w:bCs/>
                <w:sz w:val="20"/>
                <w:szCs w:val="20"/>
              </w:rPr>
              <w:t>12.</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E752" w14:textId="77777777" w:rsidR="00CF002C" w:rsidRDefault="00F22133">
            <w:pPr>
              <w:spacing w:after="0" w:line="240" w:lineRule="auto"/>
              <w:rPr>
                <w:rFonts w:ascii="Arial" w:hAnsi="Arial" w:cs="Arial"/>
                <w:b/>
                <w:bCs/>
                <w:sz w:val="20"/>
                <w:szCs w:val="20"/>
              </w:rPr>
            </w:pPr>
            <w:r>
              <w:rPr>
                <w:rFonts w:ascii="Arial" w:hAnsi="Arial" w:cs="Arial"/>
                <w:b/>
                <w:bCs/>
                <w:sz w:val="20"/>
                <w:szCs w:val="20"/>
              </w:rPr>
              <w:t>Both the Principal Designer and Principal Contractor are required to ‘Plan’, ‘Manage’, ‘Monitor’ and ‘Coordinate’. Where the Principal Contractor is legally required to demonstrate this by having a Construction Phase Plan demonstrating the required arrangements are in place. Why did CDM2015 not also stipulate that the Principal Designer should have a ‘Design Plan’ or ‘Design Risk Management Plan’ to demonstrate such during and beyond the Pre - Construction Phase?</w:t>
            </w:r>
          </w:p>
          <w:p w14:paraId="2C9F1B25" w14:textId="77777777" w:rsidR="00CF002C" w:rsidRDefault="00CF002C">
            <w:pPr>
              <w:spacing w:after="0" w:line="240" w:lineRule="auto"/>
              <w:rPr>
                <w:rFonts w:ascii="Arial" w:hAnsi="Arial" w:cs="Arial"/>
                <w:b/>
                <w:bCs/>
                <w:sz w:val="20"/>
                <w:szCs w:val="20"/>
              </w:rPr>
            </w:pPr>
          </w:p>
        </w:tc>
      </w:tr>
      <w:tr w:rsidR="00CF002C" w14:paraId="233CE5E9"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7B9C4"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BE728A" w14:textId="26F85E78" w:rsidR="00CF002C" w:rsidRDefault="00E75D4E">
            <w:pPr>
              <w:pStyle w:val="ListParagraph"/>
              <w:numPr>
                <w:ilvl w:val="0"/>
                <w:numId w:val="1"/>
              </w:numPr>
              <w:spacing w:after="0" w:line="240" w:lineRule="auto"/>
            </w:pPr>
            <w:r w:rsidRPr="00E75D4E">
              <w:rPr>
                <w:rFonts w:ascii="Arial" w:hAnsi="Arial" w:cs="Arial"/>
                <w:sz w:val="20"/>
                <w:szCs w:val="20"/>
              </w:rPr>
              <w:t xml:space="preserve">As stated in the presentation there is an expectation that PD’s will develop a plan to deliver CDM during the Pre-Construction Phase. The onus is on the PD to ensure this is in place.  </w:t>
            </w:r>
          </w:p>
        </w:tc>
      </w:tr>
      <w:tr w:rsidR="00CF002C" w14:paraId="6668C096"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4CE3F3" w14:textId="77777777" w:rsidR="00CF002C" w:rsidRDefault="00F22133">
            <w:pPr>
              <w:spacing w:after="0" w:line="240" w:lineRule="auto"/>
              <w:rPr>
                <w:rFonts w:ascii="Arial" w:hAnsi="Arial" w:cs="Arial"/>
                <w:b/>
                <w:bCs/>
                <w:sz w:val="20"/>
                <w:szCs w:val="20"/>
              </w:rPr>
            </w:pPr>
            <w:r>
              <w:rPr>
                <w:rFonts w:ascii="Arial" w:hAnsi="Arial" w:cs="Arial"/>
                <w:b/>
                <w:bCs/>
                <w:sz w:val="20"/>
                <w:szCs w:val="20"/>
              </w:rPr>
              <w:t>13.</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D1C5FC" w14:textId="77777777" w:rsidR="00CF002C" w:rsidRDefault="00F22133">
            <w:pPr>
              <w:spacing w:after="0" w:line="240" w:lineRule="auto"/>
              <w:rPr>
                <w:rFonts w:ascii="Arial" w:hAnsi="Arial" w:cs="Arial"/>
                <w:b/>
                <w:bCs/>
                <w:sz w:val="20"/>
                <w:szCs w:val="20"/>
              </w:rPr>
            </w:pPr>
            <w:r>
              <w:rPr>
                <w:rFonts w:ascii="Arial" w:hAnsi="Arial" w:cs="Arial"/>
                <w:b/>
                <w:bCs/>
                <w:sz w:val="20"/>
                <w:szCs w:val="20"/>
              </w:rPr>
              <w:t>CDM 2015 covers all ‘construction work’, which also includes the term ‘maintenance work’. For some utilities this can get a bit grey (i.e. refreshing an old sand filter by digging out the sand to refresh it and then replace). One statement I have heard is ‘if it uses construction methods and construction tools - its construction. If it’s a frequent task to maintain the operation of an asset, then its maintenance’. Regardless of what it is it obviously still need to be risk assessed under the MHSAWR 99 and have a safe system of work in method statement/work instruction under the HASAWA S2 etc.</w:t>
            </w:r>
          </w:p>
          <w:p w14:paraId="2CA50CD2" w14:textId="77777777" w:rsidR="00CF002C" w:rsidRDefault="00F22133">
            <w:pPr>
              <w:spacing w:after="0" w:line="240" w:lineRule="auto"/>
              <w:rPr>
                <w:rFonts w:ascii="Arial" w:hAnsi="Arial" w:cs="Arial"/>
                <w:b/>
                <w:bCs/>
                <w:sz w:val="20"/>
                <w:szCs w:val="20"/>
              </w:rPr>
            </w:pPr>
            <w:r>
              <w:rPr>
                <w:rFonts w:ascii="Arial" w:hAnsi="Arial" w:cs="Arial"/>
                <w:b/>
                <w:bCs/>
                <w:sz w:val="20"/>
                <w:szCs w:val="20"/>
              </w:rPr>
              <w:t>What are your views?</w:t>
            </w:r>
          </w:p>
          <w:p w14:paraId="52E99793" w14:textId="77777777" w:rsidR="00CF002C" w:rsidRDefault="00CF002C">
            <w:pPr>
              <w:spacing w:after="0" w:line="240" w:lineRule="auto"/>
              <w:rPr>
                <w:rFonts w:ascii="Arial" w:hAnsi="Arial" w:cs="Arial"/>
                <w:b/>
                <w:bCs/>
                <w:sz w:val="20"/>
                <w:szCs w:val="20"/>
              </w:rPr>
            </w:pPr>
          </w:p>
        </w:tc>
      </w:tr>
      <w:tr w:rsidR="00CF002C" w14:paraId="77AD8492"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B120B1"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08F02F" w14:textId="41A2BC67" w:rsidR="002B5B19" w:rsidRPr="003307F3" w:rsidRDefault="002B5B19">
            <w:pPr>
              <w:spacing w:after="0" w:line="240" w:lineRule="auto"/>
              <w:rPr>
                <w:rFonts w:ascii="Arial" w:hAnsi="Arial" w:cs="Arial"/>
                <w:sz w:val="20"/>
                <w:szCs w:val="20"/>
              </w:rPr>
            </w:pPr>
            <w:r w:rsidRPr="003307F3">
              <w:rPr>
                <w:rFonts w:ascii="Arial" w:hAnsi="Arial" w:cs="Arial"/>
                <w:sz w:val="20"/>
                <w:szCs w:val="20"/>
              </w:rPr>
              <w:t>If the work falls under the definition of construction (see Reg 2), then it should be considered as construction and fall under the CDM regulations irrespective of the background nature of the work.</w:t>
            </w:r>
          </w:p>
          <w:p w14:paraId="35401D37" w14:textId="6A2EF20E" w:rsidR="00CF002C" w:rsidRDefault="002B5B19">
            <w:pPr>
              <w:spacing w:after="0" w:line="240" w:lineRule="auto"/>
            </w:pPr>
            <w:r>
              <w:t xml:space="preserve"> </w:t>
            </w:r>
          </w:p>
        </w:tc>
      </w:tr>
      <w:tr w:rsidR="00CF002C" w14:paraId="0F7257ED"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C3BAB7" w14:textId="77777777" w:rsidR="00CF002C" w:rsidRDefault="00F22133">
            <w:pPr>
              <w:spacing w:after="0" w:line="240" w:lineRule="auto"/>
              <w:rPr>
                <w:rFonts w:ascii="Arial" w:hAnsi="Arial" w:cs="Arial"/>
                <w:b/>
                <w:bCs/>
                <w:sz w:val="20"/>
                <w:szCs w:val="20"/>
              </w:rPr>
            </w:pPr>
            <w:r>
              <w:rPr>
                <w:rFonts w:ascii="Arial" w:hAnsi="Arial" w:cs="Arial"/>
                <w:b/>
                <w:bCs/>
                <w:sz w:val="20"/>
                <w:szCs w:val="20"/>
              </w:rPr>
              <w:t>14.</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DEEB0E" w14:textId="77777777" w:rsidR="00CF002C" w:rsidRDefault="00F22133">
            <w:pPr>
              <w:spacing w:after="0" w:line="240" w:lineRule="auto"/>
              <w:rPr>
                <w:rFonts w:ascii="Arial" w:hAnsi="Arial" w:cs="Arial"/>
                <w:b/>
                <w:bCs/>
                <w:sz w:val="20"/>
                <w:szCs w:val="20"/>
              </w:rPr>
            </w:pPr>
            <w:r>
              <w:rPr>
                <w:rFonts w:ascii="Arial" w:hAnsi="Arial" w:cs="Arial"/>
                <w:b/>
                <w:bCs/>
                <w:sz w:val="20"/>
                <w:szCs w:val="20"/>
              </w:rPr>
              <w:t>How does the HSE view the take up of BIM and use of 3D visualisation to improve H&amp;S delivery within construction and particularly the highways sector. What are we doing right and what could we do better?</w:t>
            </w:r>
          </w:p>
          <w:p w14:paraId="5BEC3321" w14:textId="77777777" w:rsidR="00CF002C" w:rsidRDefault="00CF002C">
            <w:pPr>
              <w:spacing w:after="0" w:line="240" w:lineRule="auto"/>
              <w:rPr>
                <w:rFonts w:ascii="Arial" w:hAnsi="Arial" w:cs="Arial"/>
                <w:b/>
                <w:bCs/>
                <w:sz w:val="20"/>
                <w:szCs w:val="20"/>
              </w:rPr>
            </w:pPr>
          </w:p>
        </w:tc>
      </w:tr>
      <w:tr w:rsidR="00CF002C" w14:paraId="23366EDF"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A3D7E5"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9E39E5" w14:textId="77777777" w:rsidR="00CF002C" w:rsidRDefault="00F22133">
            <w:pPr>
              <w:pStyle w:val="ListParagraph"/>
              <w:numPr>
                <w:ilvl w:val="0"/>
                <w:numId w:val="1"/>
              </w:numPr>
              <w:spacing w:after="0" w:line="240" w:lineRule="auto"/>
              <w:rPr>
                <w:rFonts w:ascii="Arial" w:hAnsi="Arial" w:cs="Arial"/>
                <w:sz w:val="20"/>
                <w:szCs w:val="20"/>
              </w:rPr>
            </w:pPr>
            <w:r>
              <w:rPr>
                <w:rFonts w:ascii="Arial" w:hAnsi="Arial" w:cs="Arial"/>
                <w:sz w:val="20"/>
                <w:szCs w:val="20"/>
              </w:rPr>
              <w:t>Both TB and GC had expressed their concern over the slow take up of digital technology within the presentation. This needed to improve if H&amp;S goals are to be achieved.</w:t>
            </w:r>
          </w:p>
          <w:p w14:paraId="091FC788" w14:textId="77777777" w:rsidR="00CF002C" w:rsidRDefault="00CF002C">
            <w:pPr>
              <w:spacing w:after="0" w:line="240" w:lineRule="auto"/>
              <w:ind w:left="360"/>
              <w:rPr>
                <w:rFonts w:ascii="Arial" w:hAnsi="Arial" w:cs="Arial"/>
                <w:sz w:val="20"/>
                <w:szCs w:val="20"/>
              </w:rPr>
            </w:pPr>
          </w:p>
        </w:tc>
      </w:tr>
      <w:tr w:rsidR="00CF002C" w14:paraId="0B37A5E1"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4818E8" w14:textId="77777777" w:rsidR="00CF002C" w:rsidRDefault="00F22133">
            <w:pPr>
              <w:spacing w:after="0" w:line="240" w:lineRule="auto"/>
              <w:rPr>
                <w:rFonts w:ascii="Arial" w:hAnsi="Arial" w:cs="Arial"/>
                <w:b/>
                <w:bCs/>
                <w:sz w:val="20"/>
                <w:szCs w:val="20"/>
              </w:rPr>
            </w:pPr>
            <w:r>
              <w:rPr>
                <w:rFonts w:ascii="Arial" w:hAnsi="Arial" w:cs="Arial"/>
                <w:b/>
                <w:bCs/>
                <w:sz w:val="20"/>
                <w:szCs w:val="20"/>
              </w:rPr>
              <w:t>15.</w:t>
            </w: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F06974" w14:textId="77777777" w:rsidR="00CF002C" w:rsidRDefault="00F22133">
            <w:pPr>
              <w:spacing w:after="0" w:line="240" w:lineRule="auto"/>
              <w:rPr>
                <w:rFonts w:ascii="Arial" w:hAnsi="Arial" w:cs="Arial"/>
                <w:b/>
                <w:bCs/>
                <w:sz w:val="20"/>
                <w:szCs w:val="20"/>
              </w:rPr>
            </w:pPr>
            <w:r>
              <w:rPr>
                <w:rFonts w:ascii="Arial" w:hAnsi="Arial" w:cs="Arial"/>
                <w:b/>
                <w:bCs/>
                <w:sz w:val="20"/>
                <w:szCs w:val="20"/>
              </w:rPr>
              <w:t>Health has been described as the ‘Cinderella’ in H&amp;S. What is the HSE’s view on this comment and how do you see things changing going forward?</w:t>
            </w:r>
          </w:p>
          <w:p w14:paraId="340A53A5" w14:textId="77777777" w:rsidR="00CF002C" w:rsidRDefault="00CF002C">
            <w:pPr>
              <w:spacing w:after="0" w:line="240" w:lineRule="auto"/>
              <w:rPr>
                <w:rFonts w:ascii="Arial" w:hAnsi="Arial" w:cs="Arial"/>
                <w:b/>
                <w:bCs/>
                <w:sz w:val="20"/>
                <w:szCs w:val="20"/>
              </w:rPr>
            </w:pPr>
          </w:p>
        </w:tc>
      </w:tr>
      <w:tr w:rsidR="00CF002C" w14:paraId="52DCB915" w14:textId="77777777">
        <w:tc>
          <w:tcPr>
            <w:tcW w:w="7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36068" w14:textId="77777777" w:rsidR="00CF002C" w:rsidRDefault="00CF002C">
            <w:pPr>
              <w:spacing w:after="0" w:line="240" w:lineRule="auto"/>
              <w:rPr>
                <w:rFonts w:ascii="Arial" w:hAnsi="Arial" w:cs="Arial"/>
                <w:sz w:val="20"/>
                <w:szCs w:val="20"/>
              </w:rPr>
            </w:pPr>
          </w:p>
        </w:tc>
        <w:tc>
          <w:tcPr>
            <w:tcW w:w="83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F67469" w14:textId="0742EBDB" w:rsidR="00CF002C" w:rsidRPr="003307F3" w:rsidRDefault="00E75D4E">
            <w:pPr>
              <w:spacing w:after="0" w:line="240" w:lineRule="auto"/>
              <w:rPr>
                <w:rFonts w:ascii="Arial" w:hAnsi="Arial" w:cs="Arial"/>
                <w:sz w:val="20"/>
                <w:szCs w:val="20"/>
              </w:rPr>
            </w:pPr>
            <w:r w:rsidRPr="003307F3">
              <w:rPr>
                <w:rFonts w:ascii="Arial" w:hAnsi="Arial" w:cs="Arial"/>
                <w:sz w:val="20"/>
                <w:szCs w:val="20"/>
              </w:rPr>
              <w:t xml:space="preserve">HSE have a team dedicated to looking at health in construction and priority topics are </w:t>
            </w:r>
            <w:r w:rsidR="003307F3" w:rsidRPr="003307F3">
              <w:rPr>
                <w:rFonts w:ascii="Arial" w:hAnsi="Arial" w:cs="Arial"/>
                <w:sz w:val="20"/>
                <w:szCs w:val="20"/>
              </w:rPr>
              <w:t>muscular</w:t>
            </w:r>
            <w:r w:rsidRPr="003307F3">
              <w:rPr>
                <w:rFonts w:ascii="Arial" w:hAnsi="Arial" w:cs="Arial"/>
                <w:sz w:val="20"/>
                <w:szCs w:val="20"/>
              </w:rPr>
              <w:t>-skeletal and mental health.</w:t>
            </w:r>
          </w:p>
        </w:tc>
      </w:tr>
    </w:tbl>
    <w:p w14:paraId="78B54BC4" w14:textId="77777777" w:rsidR="00CF002C" w:rsidRDefault="00CF002C">
      <w:pPr>
        <w:rPr>
          <w:rFonts w:ascii="Arial" w:hAnsi="Arial" w:cs="Arial"/>
          <w:b/>
          <w:bCs/>
          <w:sz w:val="20"/>
          <w:szCs w:val="20"/>
        </w:rPr>
      </w:pPr>
    </w:p>
    <w:sectPr w:rsidR="00CF002C">
      <w:headerReference w:type="default" r:id="rId8"/>
      <w:pgSz w:w="11906" w:h="16838"/>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EBE9E3" w14:textId="77777777" w:rsidR="00AD263C" w:rsidRDefault="00AD263C">
      <w:pPr>
        <w:spacing w:after="0" w:line="240" w:lineRule="auto"/>
      </w:pPr>
      <w:r>
        <w:separator/>
      </w:r>
    </w:p>
  </w:endnote>
  <w:endnote w:type="continuationSeparator" w:id="0">
    <w:p w14:paraId="7CA880A2" w14:textId="77777777" w:rsidR="00AD263C" w:rsidRDefault="00AD26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EEB52A" w14:textId="77777777" w:rsidR="00AD263C" w:rsidRDefault="00AD263C">
      <w:pPr>
        <w:spacing w:after="0" w:line="240" w:lineRule="auto"/>
      </w:pPr>
      <w:r>
        <w:rPr>
          <w:color w:val="000000"/>
        </w:rPr>
        <w:separator/>
      </w:r>
    </w:p>
  </w:footnote>
  <w:footnote w:type="continuationSeparator" w:id="0">
    <w:p w14:paraId="066CC6C2" w14:textId="77777777" w:rsidR="00AD263C" w:rsidRDefault="00AD26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C026D7" w14:textId="77777777" w:rsidR="006026D2" w:rsidRDefault="00F22133">
    <w:pPr>
      <w:pStyle w:val="Header"/>
    </w:pPr>
    <w:r>
      <w:rPr>
        <w:noProof/>
      </w:rPr>
      <w:drawing>
        <wp:inline distT="0" distB="0" distL="0" distR="0" wp14:anchorId="70F6DD52" wp14:editId="4995777E">
          <wp:extent cx="1352553" cy="3714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352553" cy="371475"/>
                  </a:xfrm>
                  <a:prstGeom prst="rect">
                    <a:avLst/>
                  </a:prstGeom>
                  <a:noFill/>
                  <a:ln>
                    <a:noFill/>
                    <a:prstDash/>
                  </a:ln>
                </pic:spPr>
              </pic:pic>
            </a:graphicData>
          </a:graphic>
        </wp:inline>
      </w:drawing>
    </w:r>
    <w:r>
      <w:t xml:space="preserve">      </w:t>
    </w:r>
    <w:r>
      <w:rPr>
        <w:noProof/>
      </w:rPr>
      <w:drawing>
        <wp:inline distT="0" distB="0" distL="0" distR="0" wp14:anchorId="0615FB69" wp14:editId="145AAE6F">
          <wp:extent cx="1009653" cy="6000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009653" cy="600075"/>
                  </a:xfrm>
                  <a:prstGeom prst="rect">
                    <a:avLst/>
                  </a:prstGeom>
                  <a:noFill/>
                  <a:ln>
                    <a:noFill/>
                    <a:prstDash/>
                  </a:ln>
                </pic:spPr>
              </pic:pic>
            </a:graphicData>
          </a:graphic>
        </wp:inline>
      </w:drawing>
    </w:r>
    <w:r>
      <w:t xml:space="preserve">       </w:t>
    </w:r>
    <w:r>
      <w:rPr>
        <w:noProof/>
      </w:rPr>
      <w:drawing>
        <wp:inline distT="0" distB="0" distL="0" distR="0" wp14:anchorId="75E29025" wp14:editId="0FC0C1A6">
          <wp:extent cx="963292" cy="457200"/>
          <wp:effectExtent l="0" t="0" r="8258" b="0"/>
          <wp:docPr id="3"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a:stretch>
                    <a:fillRect/>
                  </a:stretch>
                </pic:blipFill>
                <pic:spPr>
                  <a:xfrm>
                    <a:off x="0" y="0"/>
                    <a:ext cx="963292" cy="457200"/>
                  </a:xfrm>
                  <a:prstGeom prst="rect">
                    <a:avLst/>
                  </a:prstGeom>
                  <a:noFill/>
                  <a:ln>
                    <a:noFill/>
                    <a:prstDash/>
                  </a:ln>
                </pic:spPr>
              </pic:pic>
            </a:graphicData>
          </a:graphic>
        </wp:inline>
      </w:drawing>
    </w:r>
    <w:r>
      <w:t xml:space="preserve">           </w:t>
    </w:r>
    <w:r>
      <w:rPr>
        <w:noProof/>
      </w:rPr>
      <w:drawing>
        <wp:inline distT="0" distB="0" distL="0" distR="0" wp14:anchorId="70D1A77D" wp14:editId="36134A5E">
          <wp:extent cx="1638303" cy="600075"/>
          <wp:effectExtent l="0" t="0" r="0" b="0"/>
          <wp:docPr id="4"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rcRect/>
                  <a:stretch>
                    <a:fillRect/>
                  </a:stretch>
                </pic:blipFill>
                <pic:spPr>
                  <a:xfrm>
                    <a:off x="0" y="0"/>
                    <a:ext cx="1638303" cy="600075"/>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921EE"/>
    <w:multiLevelType w:val="multilevel"/>
    <w:tmpl w:val="B5E234D8"/>
    <w:lvl w:ilvl="0">
      <w:start w:val="1"/>
      <w:numFmt w:val="lowerLetter"/>
      <w:lvlText w:val="%1."/>
      <w:lvlJc w:val="left"/>
      <w:pPr>
        <w:ind w:left="915" w:hanging="360"/>
      </w:pPr>
    </w:lvl>
    <w:lvl w:ilvl="1">
      <w:start w:val="1"/>
      <w:numFmt w:val="lowerLetter"/>
      <w:lvlText w:val="%2."/>
      <w:lvlJc w:val="left"/>
      <w:pPr>
        <w:ind w:left="1635" w:hanging="360"/>
      </w:pPr>
    </w:lvl>
    <w:lvl w:ilvl="2">
      <w:start w:val="1"/>
      <w:numFmt w:val="lowerRoman"/>
      <w:lvlText w:val="%3."/>
      <w:lvlJc w:val="right"/>
      <w:pPr>
        <w:ind w:left="2355" w:hanging="180"/>
      </w:pPr>
    </w:lvl>
    <w:lvl w:ilvl="3">
      <w:start w:val="1"/>
      <w:numFmt w:val="decimal"/>
      <w:lvlText w:val="%4."/>
      <w:lvlJc w:val="left"/>
      <w:pPr>
        <w:ind w:left="3075" w:hanging="360"/>
      </w:pPr>
    </w:lvl>
    <w:lvl w:ilvl="4">
      <w:start w:val="1"/>
      <w:numFmt w:val="lowerLetter"/>
      <w:lvlText w:val="%5."/>
      <w:lvlJc w:val="left"/>
      <w:pPr>
        <w:ind w:left="3795" w:hanging="360"/>
      </w:pPr>
    </w:lvl>
    <w:lvl w:ilvl="5">
      <w:start w:val="1"/>
      <w:numFmt w:val="lowerRoman"/>
      <w:lvlText w:val="%6."/>
      <w:lvlJc w:val="right"/>
      <w:pPr>
        <w:ind w:left="4515" w:hanging="180"/>
      </w:pPr>
    </w:lvl>
    <w:lvl w:ilvl="6">
      <w:start w:val="1"/>
      <w:numFmt w:val="decimal"/>
      <w:lvlText w:val="%7."/>
      <w:lvlJc w:val="left"/>
      <w:pPr>
        <w:ind w:left="5235" w:hanging="360"/>
      </w:pPr>
    </w:lvl>
    <w:lvl w:ilvl="7">
      <w:start w:val="1"/>
      <w:numFmt w:val="lowerLetter"/>
      <w:lvlText w:val="%8."/>
      <w:lvlJc w:val="left"/>
      <w:pPr>
        <w:ind w:left="5955" w:hanging="360"/>
      </w:pPr>
    </w:lvl>
    <w:lvl w:ilvl="8">
      <w:start w:val="1"/>
      <w:numFmt w:val="lowerRoman"/>
      <w:lvlText w:val="%9."/>
      <w:lvlJc w:val="right"/>
      <w:pPr>
        <w:ind w:left="6675" w:hanging="180"/>
      </w:pPr>
    </w:lvl>
  </w:abstractNum>
  <w:abstractNum w:abstractNumId="1" w15:restartNumberingAfterBreak="0">
    <w:nsid w:val="5FCD7EE5"/>
    <w:multiLevelType w:val="multilevel"/>
    <w:tmpl w:val="F4A62A46"/>
    <w:lvl w:ilvl="0">
      <w:numFmt w:val="bullet"/>
      <w:lvlText w:val="-"/>
      <w:lvlJc w:val="left"/>
      <w:pPr>
        <w:ind w:left="720" w:hanging="360"/>
      </w:pPr>
      <w:rPr>
        <w:rFonts w:ascii="Arial" w:eastAsia="Calibri"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02C"/>
    <w:rsid w:val="0009197D"/>
    <w:rsid w:val="002B5B19"/>
    <w:rsid w:val="003307F3"/>
    <w:rsid w:val="003D78FB"/>
    <w:rsid w:val="00AD263C"/>
    <w:rsid w:val="00B233FF"/>
    <w:rsid w:val="00CF002C"/>
    <w:rsid w:val="00E75D4E"/>
    <w:rsid w:val="00F221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8D61B"/>
  <w15:docId w15:val="{1AE97E3B-EF73-497E-8610-F45FB954B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ListParagraph">
    <w:name w:val="List Paragraph"/>
    <w:basedOn w:val="Normal"/>
    <w:pPr>
      <w:ind w:left="720"/>
    </w:p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emf"/><Relationship Id="rId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Potter, Doug</dc:creator>
  <dc:description/>
  <cp:lastModifiedBy>Philip Farrar (Galliford Try)</cp:lastModifiedBy>
  <cp:revision>2</cp:revision>
  <dcterms:created xsi:type="dcterms:W3CDTF">2019-11-18T09:12:00Z</dcterms:created>
  <dcterms:modified xsi:type="dcterms:W3CDTF">2019-11-18T09:12:00Z</dcterms:modified>
</cp:coreProperties>
</file>