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200"/>
        <w:gridCol w:w="2520"/>
        <w:gridCol w:w="2546"/>
      </w:tblGrid>
      <w:tr w:rsidR="007C604C" w:rsidRPr="00AD2E6E" w:rsidTr="00AD2E6E">
        <w:tc>
          <w:tcPr>
            <w:tcW w:w="14174" w:type="dxa"/>
            <w:gridSpan w:val="4"/>
            <w:shd w:val="clear" w:color="auto" w:fill="auto"/>
          </w:tcPr>
          <w:p w:rsidR="007C604C" w:rsidRPr="00AD2E6E" w:rsidRDefault="007C604C">
            <w:pPr>
              <w:rPr>
                <w:rFonts w:ascii="Arial" w:hAnsi="Arial" w:cs="Arial"/>
                <w:b/>
              </w:rPr>
            </w:pPr>
            <w:r w:rsidRPr="00AD2E6E">
              <w:rPr>
                <w:rFonts w:ascii="Arial" w:hAnsi="Arial" w:cs="Arial"/>
                <w:b/>
              </w:rPr>
              <w:t>Introduction</w:t>
            </w:r>
          </w:p>
          <w:p w:rsidR="007C604C" w:rsidRPr="00AD2E6E" w:rsidRDefault="007C604C">
            <w:pPr>
              <w:rPr>
                <w:rFonts w:ascii="Arial" w:hAnsi="Arial" w:cs="Arial"/>
              </w:rPr>
            </w:pPr>
            <w:r w:rsidRPr="00AD2E6E">
              <w:rPr>
                <w:rFonts w:ascii="Arial" w:hAnsi="Arial" w:cs="Arial"/>
              </w:rPr>
              <w:t>Where excavations are being undertaken, operatives must have access to good information about the presence of underground services.  The identification of underground service hazards cannot be left to chance.  This protocol details the actions to be taken in order the safeguard employees and sub-contractors as well as members of the public.  It is aimed at defining responsibilities and promoting co-operation and co-ordination betw</w:t>
            </w:r>
            <w:r w:rsidR="007434E7" w:rsidRPr="00AD2E6E">
              <w:rPr>
                <w:rFonts w:ascii="Arial" w:hAnsi="Arial" w:cs="Arial"/>
              </w:rPr>
              <w:t>een duty holders, including cli</w:t>
            </w:r>
            <w:r w:rsidRPr="00AD2E6E">
              <w:rPr>
                <w:rFonts w:ascii="Arial" w:hAnsi="Arial" w:cs="Arial"/>
              </w:rPr>
              <w:t>ents, designers, planners, CDMC, contractors and service owners.</w:t>
            </w:r>
          </w:p>
          <w:p w:rsidR="001C56C2" w:rsidRPr="00AD2E6E" w:rsidRDefault="001C56C2">
            <w:pPr>
              <w:rPr>
                <w:rFonts w:ascii="Arial" w:hAnsi="Arial" w:cs="Arial"/>
              </w:rPr>
            </w:pPr>
          </w:p>
          <w:p w:rsidR="001C56C2" w:rsidRPr="00AD2E6E" w:rsidRDefault="001C56C2">
            <w:pPr>
              <w:rPr>
                <w:rFonts w:ascii="Arial" w:hAnsi="Arial" w:cs="Arial"/>
              </w:rPr>
            </w:pPr>
            <w:r w:rsidRPr="00AD2E6E">
              <w:rPr>
                <w:rFonts w:ascii="Arial" w:hAnsi="Arial" w:cs="Arial"/>
              </w:rPr>
              <w:t>This protocol should be used in conjunction with the Charter document and the toolkit provided, to assist and provide guidance on the implementation of controls to ensure safety when working near underground services.</w:t>
            </w:r>
          </w:p>
          <w:p w:rsidR="007C604C" w:rsidRPr="00AD2E6E" w:rsidRDefault="007C604C">
            <w:pPr>
              <w:rPr>
                <w:rFonts w:ascii="Arial" w:hAnsi="Arial" w:cs="Arial"/>
              </w:rPr>
            </w:pPr>
          </w:p>
        </w:tc>
      </w:tr>
      <w:tr w:rsidR="007C604C" w:rsidRPr="00AD2E6E" w:rsidTr="00AD2E6E">
        <w:tc>
          <w:tcPr>
            <w:tcW w:w="1908" w:type="dxa"/>
            <w:shd w:val="clear" w:color="auto" w:fill="D9D9D9"/>
          </w:tcPr>
          <w:p w:rsidR="007C604C" w:rsidRPr="00AD2E6E" w:rsidRDefault="007C604C" w:rsidP="00AD2E6E">
            <w:pPr>
              <w:jc w:val="center"/>
              <w:rPr>
                <w:rFonts w:ascii="Arial" w:hAnsi="Arial" w:cs="Arial"/>
                <w:b/>
              </w:rPr>
            </w:pPr>
            <w:r w:rsidRPr="00AD2E6E">
              <w:rPr>
                <w:rFonts w:ascii="Arial" w:hAnsi="Arial" w:cs="Arial"/>
                <w:b/>
              </w:rPr>
              <w:t>Stage</w:t>
            </w:r>
          </w:p>
        </w:tc>
        <w:tc>
          <w:tcPr>
            <w:tcW w:w="7200" w:type="dxa"/>
            <w:shd w:val="clear" w:color="auto" w:fill="D9D9D9"/>
          </w:tcPr>
          <w:p w:rsidR="007C604C" w:rsidRPr="00AD2E6E" w:rsidRDefault="007C604C" w:rsidP="00AD2E6E">
            <w:pPr>
              <w:jc w:val="center"/>
              <w:rPr>
                <w:rFonts w:ascii="Arial" w:hAnsi="Arial" w:cs="Arial"/>
                <w:b/>
              </w:rPr>
            </w:pPr>
            <w:r w:rsidRPr="00AD2E6E">
              <w:rPr>
                <w:rFonts w:ascii="Arial" w:hAnsi="Arial" w:cs="Arial"/>
                <w:b/>
              </w:rPr>
              <w:t>Actions</w:t>
            </w:r>
          </w:p>
        </w:tc>
        <w:tc>
          <w:tcPr>
            <w:tcW w:w="2520" w:type="dxa"/>
            <w:shd w:val="clear" w:color="auto" w:fill="D9D9D9"/>
          </w:tcPr>
          <w:p w:rsidR="007C604C" w:rsidRPr="00AD2E6E" w:rsidRDefault="007C604C" w:rsidP="00AD2E6E">
            <w:pPr>
              <w:jc w:val="center"/>
              <w:rPr>
                <w:rFonts w:ascii="Arial" w:hAnsi="Arial" w:cs="Arial"/>
                <w:b/>
              </w:rPr>
            </w:pPr>
            <w:r w:rsidRPr="00AD2E6E">
              <w:rPr>
                <w:rFonts w:ascii="Arial" w:hAnsi="Arial" w:cs="Arial"/>
                <w:b/>
              </w:rPr>
              <w:t>Duty holders</w:t>
            </w:r>
          </w:p>
        </w:tc>
        <w:tc>
          <w:tcPr>
            <w:tcW w:w="2546" w:type="dxa"/>
            <w:shd w:val="clear" w:color="auto" w:fill="D9D9D9"/>
          </w:tcPr>
          <w:p w:rsidR="007C604C" w:rsidRPr="00AD2E6E" w:rsidRDefault="007C604C" w:rsidP="00AD2E6E">
            <w:pPr>
              <w:jc w:val="center"/>
              <w:rPr>
                <w:rFonts w:ascii="Arial" w:hAnsi="Arial" w:cs="Arial"/>
                <w:b/>
              </w:rPr>
            </w:pPr>
            <w:r w:rsidRPr="00AD2E6E">
              <w:rPr>
                <w:rFonts w:ascii="Arial" w:hAnsi="Arial" w:cs="Arial"/>
                <w:b/>
              </w:rPr>
              <w:t>Legislation, ACOP, COP &amp; Guidance</w:t>
            </w:r>
          </w:p>
        </w:tc>
      </w:tr>
      <w:tr w:rsidR="00F00BE3" w:rsidRPr="00AD2E6E" w:rsidTr="00AD2E6E">
        <w:tc>
          <w:tcPr>
            <w:tcW w:w="1908" w:type="dxa"/>
            <w:vMerge w:val="restart"/>
            <w:shd w:val="clear" w:color="auto" w:fill="auto"/>
          </w:tcPr>
          <w:p w:rsidR="00F00BE3" w:rsidRPr="00AD2E6E" w:rsidRDefault="00F00BE3">
            <w:pPr>
              <w:rPr>
                <w:rFonts w:ascii="Arial" w:hAnsi="Arial" w:cs="Arial"/>
              </w:rPr>
            </w:pPr>
            <w:r w:rsidRPr="00AD2E6E">
              <w:rPr>
                <w:rFonts w:ascii="Arial" w:hAnsi="Arial" w:cs="Arial"/>
              </w:rPr>
              <w:t xml:space="preserve">Concept and </w:t>
            </w:r>
            <w:r w:rsidR="001C56C2" w:rsidRPr="00AD2E6E">
              <w:rPr>
                <w:rFonts w:ascii="Arial" w:hAnsi="Arial" w:cs="Arial"/>
              </w:rPr>
              <w:t>Feasibility</w:t>
            </w:r>
          </w:p>
        </w:tc>
        <w:tc>
          <w:tcPr>
            <w:tcW w:w="7200" w:type="dxa"/>
            <w:shd w:val="clear" w:color="auto" w:fill="auto"/>
          </w:tcPr>
          <w:p w:rsidR="00F00BE3" w:rsidRPr="00AD2E6E" w:rsidRDefault="00F00BE3">
            <w:pPr>
              <w:rPr>
                <w:rFonts w:ascii="Arial" w:hAnsi="Arial" w:cs="Arial"/>
              </w:rPr>
            </w:pPr>
            <w:r w:rsidRPr="00AD2E6E">
              <w:rPr>
                <w:rFonts w:ascii="Arial" w:hAnsi="Arial" w:cs="Arial"/>
              </w:rPr>
              <w:t>Appoint competent adequately resourced designers and/or planners</w:t>
            </w:r>
          </w:p>
        </w:tc>
        <w:tc>
          <w:tcPr>
            <w:tcW w:w="2520" w:type="dxa"/>
            <w:shd w:val="clear" w:color="auto" w:fill="auto"/>
          </w:tcPr>
          <w:p w:rsidR="00F00BE3" w:rsidRPr="00AD2E6E" w:rsidRDefault="00F00BE3">
            <w:pPr>
              <w:rPr>
                <w:rFonts w:ascii="Arial" w:hAnsi="Arial" w:cs="Arial"/>
              </w:rPr>
            </w:pPr>
            <w:r w:rsidRPr="00AD2E6E">
              <w:rPr>
                <w:rFonts w:ascii="Arial" w:hAnsi="Arial" w:cs="Arial"/>
              </w:rPr>
              <w:t>Client</w:t>
            </w:r>
          </w:p>
        </w:tc>
        <w:tc>
          <w:tcPr>
            <w:tcW w:w="2546" w:type="dxa"/>
            <w:vMerge w:val="restart"/>
            <w:shd w:val="clear" w:color="auto" w:fill="auto"/>
          </w:tcPr>
          <w:p w:rsidR="00F00BE3" w:rsidRPr="00AD2E6E" w:rsidRDefault="00F00BE3">
            <w:pPr>
              <w:rPr>
                <w:rFonts w:ascii="Arial" w:hAnsi="Arial" w:cs="Arial"/>
                <w:b/>
              </w:rPr>
            </w:pPr>
            <w:r w:rsidRPr="00AD2E6E">
              <w:rPr>
                <w:rFonts w:ascii="Arial" w:hAnsi="Arial" w:cs="Arial"/>
                <w:b/>
              </w:rPr>
              <w:t>CDM</w:t>
            </w:r>
          </w:p>
          <w:p w:rsidR="00F00BE3" w:rsidRPr="00AD2E6E" w:rsidRDefault="00F00BE3">
            <w:pPr>
              <w:rPr>
                <w:rFonts w:ascii="Arial" w:hAnsi="Arial" w:cs="Arial"/>
                <w:b/>
              </w:rPr>
            </w:pPr>
            <w:r w:rsidRPr="00AD2E6E">
              <w:rPr>
                <w:rFonts w:ascii="Arial" w:hAnsi="Arial" w:cs="Arial"/>
                <w:b/>
              </w:rPr>
              <w:t>MHSW</w:t>
            </w:r>
          </w:p>
          <w:p w:rsidR="00F00BE3" w:rsidRPr="00AD2E6E" w:rsidRDefault="00F00BE3">
            <w:pPr>
              <w:rPr>
                <w:rFonts w:ascii="Arial" w:hAnsi="Arial" w:cs="Arial"/>
              </w:rPr>
            </w:pPr>
            <w:r w:rsidRPr="00AD2E6E">
              <w:rPr>
                <w:rFonts w:ascii="Arial" w:hAnsi="Arial" w:cs="Arial"/>
                <w:b/>
              </w:rPr>
              <w:t>HSWA</w:t>
            </w:r>
          </w:p>
        </w:tc>
      </w:tr>
      <w:tr w:rsidR="00F00BE3" w:rsidRPr="00AD2E6E" w:rsidTr="00AD2E6E">
        <w:tc>
          <w:tcPr>
            <w:tcW w:w="1908" w:type="dxa"/>
            <w:vMerge/>
            <w:shd w:val="clear" w:color="auto" w:fill="auto"/>
          </w:tcPr>
          <w:p w:rsidR="00F00BE3" w:rsidRPr="00AD2E6E" w:rsidRDefault="00F00BE3">
            <w:pPr>
              <w:rPr>
                <w:rFonts w:ascii="Arial" w:hAnsi="Arial" w:cs="Arial"/>
              </w:rPr>
            </w:pPr>
          </w:p>
        </w:tc>
        <w:tc>
          <w:tcPr>
            <w:tcW w:w="7200" w:type="dxa"/>
            <w:shd w:val="clear" w:color="auto" w:fill="auto"/>
          </w:tcPr>
          <w:p w:rsidR="00F00BE3" w:rsidRPr="00AD2E6E" w:rsidRDefault="00F00BE3">
            <w:pPr>
              <w:rPr>
                <w:rFonts w:ascii="Arial" w:hAnsi="Arial" w:cs="Arial"/>
              </w:rPr>
            </w:pPr>
            <w:r w:rsidRPr="00AD2E6E">
              <w:rPr>
                <w:rFonts w:ascii="Arial" w:hAnsi="Arial" w:cs="Arial"/>
              </w:rPr>
              <w:t>Competent designers and planners are to be in a position to determine the ;</w:t>
            </w:r>
          </w:p>
          <w:p w:rsidR="00F00BE3" w:rsidRPr="00AD2E6E" w:rsidRDefault="00F00BE3" w:rsidP="00AD2E6E">
            <w:pPr>
              <w:numPr>
                <w:ilvl w:val="0"/>
                <w:numId w:val="1"/>
              </w:numPr>
              <w:rPr>
                <w:rFonts w:ascii="Arial" w:hAnsi="Arial" w:cs="Arial"/>
              </w:rPr>
            </w:pPr>
            <w:r w:rsidRPr="00AD2E6E">
              <w:rPr>
                <w:rFonts w:ascii="Arial" w:hAnsi="Arial" w:cs="Arial"/>
              </w:rPr>
              <w:t>Impact of their designs on the utility apparatus</w:t>
            </w:r>
          </w:p>
          <w:p w:rsidR="00F00BE3" w:rsidRPr="00AD2E6E" w:rsidRDefault="00F00BE3" w:rsidP="00AD2E6E">
            <w:pPr>
              <w:numPr>
                <w:ilvl w:val="0"/>
                <w:numId w:val="1"/>
              </w:numPr>
              <w:rPr>
                <w:rFonts w:ascii="Arial" w:hAnsi="Arial" w:cs="Arial"/>
              </w:rPr>
            </w:pPr>
            <w:r w:rsidRPr="00AD2E6E">
              <w:rPr>
                <w:rFonts w:ascii="Arial" w:hAnsi="Arial" w:cs="Arial"/>
              </w:rPr>
              <w:t>Best available technique for locating and protecting underground services, and</w:t>
            </w:r>
          </w:p>
          <w:p w:rsidR="00F00BE3" w:rsidRPr="00AD2E6E" w:rsidRDefault="00F00BE3" w:rsidP="00AD2E6E">
            <w:pPr>
              <w:numPr>
                <w:ilvl w:val="0"/>
                <w:numId w:val="1"/>
              </w:numPr>
              <w:rPr>
                <w:rFonts w:ascii="Arial" w:hAnsi="Arial" w:cs="Arial"/>
              </w:rPr>
            </w:pPr>
            <w:r w:rsidRPr="00AD2E6E">
              <w:rPr>
                <w:rFonts w:ascii="Arial" w:hAnsi="Arial" w:cs="Arial"/>
              </w:rPr>
              <w:t>Statutory obligations and best practice guidance documents requirements</w:t>
            </w:r>
          </w:p>
        </w:tc>
        <w:tc>
          <w:tcPr>
            <w:tcW w:w="2520" w:type="dxa"/>
            <w:shd w:val="clear" w:color="auto" w:fill="auto"/>
          </w:tcPr>
          <w:p w:rsidR="00F00BE3" w:rsidRPr="00AD2E6E" w:rsidRDefault="00F00BE3">
            <w:pPr>
              <w:rPr>
                <w:rFonts w:ascii="Arial" w:hAnsi="Arial" w:cs="Arial"/>
              </w:rPr>
            </w:pPr>
            <w:r w:rsidRPr="00AD2E6E">
              <w:rPr>
                <w:rFonts w:ascii="Arial" w:hAnsi="Arial" w:cs="Arial"/>
              </w:rPr>
              <w:t>Designer / planner</w:t>
            </w:r>
          </w:p>
        </w:tc>
        <w:tc>
          <w:tcPr>
            <w:tcW w:w="2546" w:type="dxa"/>
            <w:vMerge/>
            <w:shd w:val="clear" w:color="auto" w:fill="auto"/>
          </w:tcPr>
          <w:p w:rsidR="00F00BE3" w:rsidRPr="00AD2E6E" w:rsidRDefault="00F00BE3">
            <w:pPr>
              <w:rPr>
                <w:rFonts w:ascii="Arial" w:hAnsi="Arial" w:cs="Arial"/>
              </w:rPr>
            </w:pPr>
          </w:p>
        </w:tc>
      </w:tr>
      <w:tr w:rsidR="00C86FBB" w:rsidRPr="00AD2E6E" w:rsidTr="00AD2E6E">
        <w:tc>
          <w:tcPr>
            <w:tcW w:w="1908" w:type="dxa"/>
            <w:vMerge w:val="restart"/>
            <w:shd w:val="clear" w:color="auto" w:fill="auto"/>
          </w:tcPr>
          <w:p w:rsidR="00C86FBB" w:rsidRPr="00AD2E6E" w:rsidRDefault="00C86FBB">
            <w:pPr>
              <w:rPr>
                <w:rFonts w:ascii="Arial" w:hAnsi="Arial" w:cs="Arial"/>
              </w:rPr>
            </w:pPr>
            <w:r w:rsidRPr="00AD2E6E">
              <w:rPr>
                <w:rFonts w:ascii="Arial" w:hAnsi="Arial" w:cs="Arial"/>
              </w:rPr>
              <w:t>Design and Planning</w:t>
            </w:r>
          </w:p>
        </w:tc>
        <w:tc>
          <w:tcPr>
            <w:tcW w:w="7200" w:type="dxa"/>
            <w:shd w:val="clear" w:color="auto" w:fill="auto"/>
          </w:tcPr>
          <w:p w:rsidR="00C86FBB" w:rsidRPr="00AD2E6E" w:rsidRDefault="00C86FBB">
            <w:pPr>
              <w:rPr>
                <w:rFonts w:ascii="Arial" w:hAnsi="Arial" w:cs="Arial"/>
              </w:rPr>
            </w:pPr>
            <w:r w:rsidRPr="00AD2E6E">
              <w:rPr>
                <w:rFonts w:ascii="Arial" w:hAnsi="Arial" w:cs="Arial"/>
              </w:rPr>
              <w:t xml:space="preserve">Contact the utility owner to establish the position of their apparatus </w:t>
            </w:r>
            <w:r w:rsidR="007434E7" w:rsidRPr="00AD2E6E">
              <w:rPr>
                <w:rFonts w:ascii="Arial" w:hAnsi="Arial" w:cs="Arial"/>
              </w:rPr>
              <w:t>inclusive</w:t>
            </w:r>
            <w:r w:rsidRPr="00AD2E6E">
              <w:rPr>
                <w:rFonts w:ascii="Arial" w:hAnsi="Arial" w:cs="Arial"/>
              </w:rPr>
              <w:t xml:space="preserve"> of limitations on accuracy of new and older services.</w:t>
            </w:r>
          </w:p>
        </w:tc>
        <w:tc>
          <w:tcPr>
            <w:tcW w:w="2520" w:type="dxa"/>
            <w:shd w:val="clear" w:color="auto" w:fill="auto"/>
          </w:tcPr>
          <w:p w:rsidR="00C86FBB" w:rsidRPr="00AD2E6E" w:rsidRDefault="00C86FBB">
            <w:pPr>
              <w:rPr>
                <w:rFonts w:ascii="Arial" w:hAnsi="Arial" w:cs="Arial"/>
              </w:rPr>
            </w:pPr>
            <w:r w:rsidRPr="00AD2E6E">
              <w:rPr>
                <w:rFonts w:ascii="Arial" w:hAnsi="Arial" w:cs="Arial"/>
              </w:rPr>
              <w:t>Designer / planner</w:t>
            </w:r>
          </w:p>
        </w:tc>
        <w:tc>
          <w:tcPr>
            <w:tcW w:w="2546" w:type="dxa"/>
            <w:vMerge w:val="restart"/>
            <w:shd w:val="clear" w:color="auto" w:fill="auto"/>
          </w:tcPr>
          <w:p w:rsidR="00C86FBB" w:rsidRPr="00AD2E6E" w:rsidRDefault="00C86FBB">
            <w:pPr>
              <w:rPr>
                <w:rFonts w:ascii="Arial" w:hAnsi="Arial" w:cs="Arial"/>
                <w:b/>
              </w:rPr>
            </w:pPr>
            <w:r w:rsidRPr="00AD2E6E">
              <w:rPr>
                <w:rFonts w:ascii="Arial" w:hAnsi="Arial" w:cs="Arial"/>
                <w:b/>
              </w:rPr>
              <w:t>NRSWA</w:t>
            </w:r>
          </w:p>
          <w:p w:rsidR="00C86FBB" w:rsidRPr="00AD2E6E" w:rsidRDefault="00C86FBB">
            <w:pPr>
              <w:rPr>
                <w:rFonts w:ascii="Arial" w:hAnsi="Arial" w:cs="Arial"/>
                <w:b/>
              </w:rPr>
            </w:pPr>
            <w:r w:rsidRPr="00AD2E6E">
              <w:rPr>
                <w:rFonts w:ascii="Arial" w:hAnsi="Arial" w:cs="Arial"/>
                <w:b/>
              </w:rPr>
              <w:t>HSG47</w:t>
            </w:r>
          </w:p>
          <w:p w:rsidR="001C56C2" w:rsidRPr="00AD2E6E" w:rsidRDefault="001C56C2">
            <w:pPr>
              <w:rPr>
                <w:rFonts w:ascii="Arial" w:hAnsi="Arial" w:cs="Arial"/>
                <w:b/>
              </w:rPr>
            </w:pPr>
            <w:r w:rsidRPr="00AD2E6E">
              <w:rPr>
                <w:rFonts w:ascii="Arial" w:hAnsi="Arial" w:cs="Arial"/>
                <w:b/>
              </w:rPr>
              <w:t>EAW</w:t>
            </w:r>
          </w:p>
          <w:p w:rsidR="00C86FBB" w:rsidRPr="00AD2E6E" w:rsidRDefault="00C86FBB">
            <w:pPr>
              <w:rPr>
                <w:rFonts w:ascii="Arial" w:hAnsi="Arial" w:cs="Arial"/>
              </w:rPr>
            </w:pPr>
            <w:r w:rsidRPr="00AD2E6E">
              <w:rPr>
                <w:rFonts w:ascii="Arial" w:hAnsi="Arial" w:cs="Arial"/>
                <w:b/>
              </w:rPr>
              <w:t>PUWER</w:t>
            </w:r>
          </w:p>
        </w:tc>
      </w:tr>
      <w:tr w:rsidR="00C86FBB" w:rsidRPr="00AD2E6E" w:rsidTr="00AD2E6E">
        <w:tc>
          <w:tcPr>
            <w:tcW w:w="1908" w:type="dxa"/>
            <w:vMerge/>
            <w:shd w:val="clear" w:color="auto" w:fill="auto"/>
          </w:tcPr>
          <w:p w:rsidR="00C86FBB" w:rsidRPr="00AD2E6E" w:rsidRDefault="00C86FBB">
            <w:pPr>
              <w:rPr>
                <w:rFonts w:ascii="Arial" w:hAnsi="Arial" w:cs="Arial"/>
              </w:rPr>
            </w:pPr>
          </w:p>
        </w:tc>
        <w:tc>
          <w:tcPr>
            <w:tcW w:w="7200" w:type="dxa"/>
            <w:shd w:val="clear" w:color="auto" w:fill="auto"/>
          </w:tcPr>
          <w:p w:rsidR="00C86FBB" w:rsidRPr="00AD2E6E" w:rsidRDefault="00C86FBB">
            <w:pPr>
              <w:rPr>
                <w:rFonts w:ascii="Arial" w:hAnsi="Arial" w:cs="Arial"/>
              </w:rPr>
            </w:pPr>
            <w:r w:rsidRPr="00AD2E6E">
              <w:rPr>
                <w:rFonts w:ascii="Arial" w:hAnsi="Arial" w:cs="Arial"/>
              </w:rPr>
              <w:t xml:space="preserve">Provide the designer / planner with up to date, legible plans that </w:t>
            </w:r>
            <w:r w:rsidRPr="00AD2E6E">
              <w:rPr>
                <w:rFonts w:ascii="Arial" w:hAnsi="Arial" w:cs="Arial"/>
              </w:rPr>
              <w:lastRenderedPageBreak/>
              <w:t>show;</w:t>
            </w:r>
          </w:p>
          <w:p w:rsidR="00C86FBB" w:rsidRPr="00AD2E6E" w:rsidRDefault="00C86FBB" w:rsidP="00AD2E6E">
            <w:pPr>
              <w:numPr>
                <w:ilvl w:val="0"/>
                <w:numId w:val="2"/>
              </w:numPr>
              <w:rPr>
                <w:rFonts w:ascii="Arial" w:hAnsi="Arial" w:cs="Arial"/>
              </w:rPr>
            </w:pPr>
            <w:r w:rsidRPr="00AD2E6E">
              <w:rPr>
                <w:rFonts w:ascii="Arial" w:hAnsi="Arial" w:cs="Arial"/>
              </w:rPr>
              <w:t>Recorded location, configuration line and depth of known services in the specified areas</w:t>
            </w:r>
          </w:p>
          <w:p w:rsidR="00C86FBB" w:rsidRPr="00AD2E6E" w:rsidRDefault="00C86FBB" w:rsidP="00AD2E6E">
            <w:pPr>
              <w:numPr>
                <w:ilvl w:val="0"/>
                <w:numId w:val="2"/>
              </w:numPr>
              <w:rPr>
                <w:rFonts w:ascii="Arial" w:hAnsi="Arial" w:cs="Arial"/>
              </w:rPr>
            </w:pPr>
            <w:r w:rsidRPr="00AD2E6E">
              <w:rPr>
                <w:rFonts w:ascii="Arial" w:hAnsi="Arial" w:cs="Arial"/>
              </w:rPr>
              <w:t xml:space="preserve">The extent and location of particularly vulnerable services, and </w:t>
            </w:r>
          </w:p>
          <w:p w:rsidR="00C86FBB" w:rsidRPr="00AD2E6E" w:rsidRDefault="00C86FBB" w:rsidP="00AD2E6E">
            <w:pPr>
              <w:numPr>
                <w:ilvl w:val="0"/>
                <w:numId w:val="2"/>
              </w:numPr>
              <w:rPr>
                <w:rFonts w:ascii="Arial" w:hAnsi="Arial" w:cs="Arial"/>
              </w:rPr>
            </w:pPr>
            <w:r w:rsidRPr="00AD2E6E">
              <w:rPr>
                <w:rFonts w:ascii="Arial" w:hAnsi="Arial" w:cs="Arial"/>
              </w:rPr>
              <w:t>Any other suitable shared information that will achieve the same aim</w:t>
            </w:r>
          </w:p>
        </w:tc>
        <w:tc>
          <w:tcPr>
            <w:tcW w:w="2520" w:type="dxa"/>
            <w:shd w:val="clear" w:color="auto" w:fill="auto"/>
          </w:tcPr>
          <w:p w:rsidR="00C86FBB" w:rsidRPr="00AD2E6E" w:rsidRDefault="00C86FBB">
            <w:pPr>
              <w:rPr>
                <w:rFonts w:ascii="Arial" w:hAnsi="Arial" w:cs="Arial"/>
              </w:rPr>
            </w:pPr>
            <w:r w:rsidRPr="00AD2E6E">
              <w:rPr>
                <w:rFonts w:ascii="Arial" w:hAnsi="Arial" w:cs="Arial"/>
              </w:rPr>
              <w:lastRenderedPageBreak/>
              <w:t>Utility Owner</w:t>
            </w:r>
          </w:p>
        </w:tc>
        <w:tc>
          <w:tcPr>
            <w:tcW w:w="2546" w:type="dxa"/>
            <w:vMerge/>
            <w:shd w:val="clear" w:color="auto" w:fill="auto"/>
          </w:tcPr>
          <w:p w:rsidR="00C86FBB" w:rsidRPr="00AD2E6E" w:rsidRDefault="00C86FBB">
            <w:pPr>
              <w:rPr>
                <w:rFonts w:ascii="Arial" w:hAnsi="Arial" w:cs="Arial"/>
              </w:rPr>
            </w:pPr>
          </w:p>
        </w:tc>
      </w:tr>
      <w:tr w:rsidR="00C86FBB" w:rsidRPr="00AD2E6E" w:rsidTr="00AD2E6E">
        <w:tc>
          <w:tcPr>
            <w:tcW w:w="1908" w:type="dxa"/>
            <w:vMerge/>
            <w:shd w:val="clear" w:color="auto" w:fill="auto"/>
          </w:tcPr>
          <w:p w:rsidR="00C86FBB" w:rsidRPr="00AD2E6E" w:rsidRDefault="00C86FBB">
            <w:pPr>
              <w:rPr>
                <w:rFonts w:ascii="Arial" w:hAnsi="Arial" w:cs="Arial"/>
              </w:rPr>
            </w:pPr>
          </w:p>
        </w:tc>
        <w:tc>
          <w:tcPr>
            <w:tcW w:w="7200" w:type="dxa"/>
            <w:shd w:val="clear" w:color="auto" w:fill="auto"/>
          </w:tcPr>
          <w:p w:rsidR="00C86FBB" w:rsidRPr="00AD2E6E" w:rsidRDefault="00C86FBB">
            <w:pPr>
              <w:rPr>
                <w:rFonts w:ascii="Arial" w:hAnsi="Arial" w:cs="Arial"/>
              </w:rPr>
            </w:pPr>
            <w:r w:rsidRPr="00AD2E6E">
              <w:rPr>
                <w:rFonts w:ascii="Arial" w:hAnsi="Arial" w:cs="Arial"/>
              </w:rPr>
              <w:t>Identify underground services, recognising the limitations on accuracy of information. Where there is limited information, special problems or the techniques dictate (e.g. trenchless technology) take appropriate  steps to identify the location of underground services (if necessary by digging trial holes).</w:t>
            </w:r>
          </w:p>
        </w:tc>
        <w:tc>
          <w:tcPr>
            <w:tcW w:w="2520" w:type="dxa"/>
            <w:shd w:val="clear" w:color="auto" w:fill="auto"/>
          </w:tcPr>
          <w:p w:rsidR="00C86FBB" w:rsidRPr="00AD2E6E" w:rsidRDefault="00C86FBB">
            <w:pPr>
              <w:rPr>
                <w:rFonts w:ascii="Arial" w:hAnsi="Arial" w:cs="Arial"/>
              </w:rPr>
            </w:pPr>
            <w:r w:rsidRPr="00AD2E6E">
              <w:rPr>
                <w:rFonts w:ascii="Arial" w:hAnsi="Arial" w:cs="Arial"/>
              </w:rPr>
              <w:t>Designer / planner / utility owner</w:t>
            </w:r>
          </w:p>
        </w:tc>
        <w:tc>
          <w:tcPr>
            <w:tcW w:w="2546" w:type="dxa"/>
            <w:vMerge/>
            <w:shd w:val="clear" w:color="auto" w:fill="auto"/>
          </w:tcPr>
          <w:p w:rsidR="00C86FBB" w:rsidRPr="00AD2E6E" w:rsidRDefault="00C86FBB">
            <w:pPr>
              <w:rPr>
                <w:rFonts w:ascii="Arial" w:hAnsi="Arial" w:cs="Arial"/>
              </w:rPr>
            </w:pPr>
          </w:p>
        </w:tc>
      </w:tr>
      <w:tr w:rsidR="00C86FBB" w:rsidRPr="00AD2E6E" w:rsidTr="00AD2E6E">
        <w:tc>
          <w:tcPr>
            <w:tcW w:w="1908" w:type="dxa"/>
            <w:vMerge/>
            <w:shd w:val="clear" w:color="auto" w:fill="auto"/>
          </w:tcPr>
          <w:p w:rsidR="00C86FBB" w:rsidRPr="00AD2E6E" w:rsidRDefault="00C86FBB">
            <w:pPr>
              <w:rPr>
                <w:rFonts w:ascii="Arial" w:hAnsi="Arial" w:cs="Arial"/>
              </w:rPr>
            </w:pPr>
          </w:p>
        </w:tc>
        <w:tc>
          <w:tcPr>
            <w:tcW w:w="7200" w:type="dxa"/>
            <w:shd w:val="clear" w:color="auto" w:fill="auto"/>
          </w:tcPr>
          <w:p w:rsidR="00C86FBB" w:rsidRPr="00AD2E6E" w:rsidRDefault="00C86FBB">
            <w:pPr>
              <w:rPr>
                <w:rFonts w:ascii="Arial" w:hAnsi="Arial" w:cs="Arial"/>
              </w:rPr>
            </w:pPr>
            <w:r w:rsidRPr="00AD2E6E">
              <w:rPr>
                <w:rFonts w:ascii="Arial" w:hAnsi="Arial" w:cs="Arial"/>
              </w:rPr>
              <w:t>Attend site to give advice / assistance if after conducting site investigations the designer / planner cannot locate the services or discovers that they are embedded in concrete.</w:t>
            </w:r>
          </w:p>
        </w:tc>
        <w:tc>
          <w:tcPr>
            <w:tcW w:w="2520" w:type="dxa"/>
            <w:shd w:val="clear" w:color="auto" w:fill="auto"/>
          </w:tcPr>
          <w:p w:rsidR="00C86FBB" w:rsidRPr="00AD2E6E" w:rsidRDefault="00C86FBB">
            <w:pPr>
              <w:rPr>
                <w:rFonts w:ascii="Arial" w:hAnsi="Arial" w:cs="Arial"/>
              </w:rPr>
            </w:pPr>
            <w:r w:rsidRPr="00AD2E6E">
              <w:rPr>
                <w:rFonts w:ascii="Arial" w:hAnsi="Arial" w:cs="Arial"/>
              </w:rPr>
              <w:t>Utilities</w:t>
            </w:r>
          </w:p>
        </w:tc>
        <w:tc>
          <w:tcPr>
            <w:tcW w:w="2546" w:type="dxa"/>
            <w:vMerge/>
            <w:shd w:val="clear" w:color="auto" w:fill="auto"/>
          </w:tcPr>
          <w:p w:rsidR="00C86FBB" w:rsidRPr="00AD2E6E" w:rsidRDefault="00C86FBB">
            <w:pPr>
              <w:rPr>
                <w:rFonts w:ascii="Arial" w:hAnsi="Arial" w:cs="Arial"/>
              </w:rPr>
            </w:pPr>
          </w:p>
        </w:tc>
      </w:tr>
      <w:tr w:rsidR="00C86FBB" w:rsidRPr="00AD2E6E" w:rsidTr="00AD2E6E">
        <w:tc>
          <w:tcPr>
            <w:tcW w:w="1908" w:type="dxa"/>
            <w:vMerge/>
            <w:shd w:val="clear" w:color="auto" w:fill="auto"/>
          </w:tcPr>
          <w:p w:rsidR="00C86FBB" w:rsidRPr="00AD2E6E" w:rsidRDefault="00C86FBB">
            <w:pPr>
              <w:rPr>
                <w:rFonts w:ascii="Arial" w:hAnsi="Arial" w:cs="Arial"/>
              </w:rPr>
            </w:pPr>
          </w:p>
        </w:tc>
        <w:tc>
          <w:tcPr>
            <w:tcW w:w="7200" w:type="dxa"/>
            <w:shd w:val="clear" w:color="auto" w:fill="auto"/>
          </w:tcPr>
          <w:p w:rsidR="00C86FBB" w:rsidRPr="00AD2E6E" w:rsidRDefault="00C86FBB">
            <w:pPr>
              <w:rPr>
                <w:rFonts w:ascii="Arial" w:hAnsi="Arial" w:cs="Arial"/>
              </w:rPr>
            </w:pPr>
            <w:r w:rsidRPr="00AD2E6E">
              <w:rPr>
                <w:rFonts w:ascii="Arial" w:hAnsi="Arial" w:cs="Arial"/>
              </w:rPr>
              <w:t>Prior to finalising the design / contract drawings, confirm that any potential impact on utility apparatus has been considered.</w:t>
            </w:r>
          </w:p>
        </w:tc>
        <w:tc>
          <w:tcPr>
            <w:tcW w:w="2520" w:type="dxa"/>
            <w:shd w:val="clear" w:color="auto" w:fill="auto"/>
          </w:tcPr>
          <w:p w:rsidR="00C86FBB" w:rsidRPr="00AD2E6E" w:rsidRDefault="00C86FBB">
            <w:pPr>
              <w:rPr>
                <w:rFonts w:ascii="Arial" w:hAnsi="Arial" w:cs="Arial"/>
              </w:rPr>
            </w:pPr>
            <w:r w:rsidRPr="00AD2E6E">
              <w:rPr>
                <w:rFonts w:ascii="Arial" w:hAnsi="Arial" w:cs="Arial"/>
              </w:rPr>
              <w:t>Designer / planner / utility owner</w:t>
            </w:r>
          </w:p>
        </w:tc>
        <w:tc>
          <w:tcPr>
            <w:tcW w:w="2546" w:type="dxa"/>
            <w:vMerge/>
            <w:shd w:val="clear" w:color="auto" w:fill="auto"/>
          </w:tcPr>
          <w:p w:rsidR="00C86FBB" w:rsidRPr="00AD2E6E" w:rsidRDefault="00C86FBB">
            <w:pPr>
              <w:rPr>
                <w:rFonts w:ascii="Arial" w:hAnsi="Arial" w:cs="Arial"/>
              </w:rPr>
            </w:pPr>
          </w:p>
        </w:tc>
      </w:tr>
      <w:tr w:rsidR="00523254" w:rsidRPr="00AD2E6E" w:rsidTr="00AD2E6E">
        <w:tc>
          <w:tcPr>
            <w:tcW w:w="1908" w:type="dxa"/>
            <w:vMerge w:val="restart"/>
            <w:shd w:val="clear" w:color="auto" w:fill="auto"/>
          </w:tcPr>
          <w:p w:rsidR="00523254" w:rsidRPr="00AD2E6E" w:rsidRDefault="00523254">
            <w:pPr>
              <w:rPr>
                <w:rFonts w:ascii="Arial" w:hAnsi="Arial" w:cs="Arial"/>
              </w:rPr>
            </w:pPr>
            <w:r w:rsidRPr="00AD2E6E">
              <w:rPr>
                <w:rFonts w:ascii="Arial" w:hAnsi="Arial" w:cs="Arial"/>
              </w:rPr>
              <w:t>Tender</w:t>
            </w:r>
          </w:p>
        </w:tc>
        <w:tc>
          <w:tcPr>
            <w:tcW w:w="7200" w:type="dxa"/>
            <w:shd w:val="clear" w:color="auto" w:fill="auto"/>
          </w:tcPr>
          <w:p w:rsidR="00523254" w:rsidRPr="00AD2E6E" w:rsidRDefault="00523254">
            <w:pPr>
              <w:rPr>
                <w:rFonts w:ascii="Arial" w:hAnsi="Arial" w:cs="Arial"/>
              </w:rPr>
            </w:pPr>
            <w:r w:rsidRPr="00AD2E6E">
              <w:rPr>
                <w:rFonts w:ascii="Arial" w:hAnsi="Arial" w:cs="Arial"/>
              </w:rPr>
              <w:t>Provide the contractor with up to date, readable plans that are accurate and as relevant as possible, which show the;</w:t>
            </w:r>
          </w:p>
          <w:p w:rsidR="00523254" w:rsidRPr="00AD2E6E" w:rsidRDefault="00523254" w:rsidP="00AD2E6E">
            <w:pPr>
              <w:numPr>
                <w:ilvl w:val="0"/>
                <w:numId w:val="2"/>
              </w:numPr>
              <w:rPr>
                <w:rFonts w:ascii="Arial" w:hAnsi="Arial" w:cs="Arial"/>
              </w:rPr>
            </w:pPr>
            <w:r w:rsidRPr="00AD2E6E">
              <w:rPr>
                <w:rFonts w:ascii="Arial" w:hAnsi="Arial" w:cs="Arial"/>
              </w:rPr>
              <w:t>Recorded location, configuration line and depth of known services in the specified areas</w:t>
            </w:r>
          </w:p>
          <w:p w:rsidR="00523254" w:rsidRPr="00AD2E6E" w:rsidRDefault="00523254" w:rsidP="00AD2E6E">
            <w:pPr>
              <w:numPr>
                <w:ilvl w:val="0"/>
                <w:numId w:val="2"/>
              </w:numPr>
              <w:rPr>
                <w:rFonts w:ascii="Arial" w:hAnsi="Arial" w:cs="Arial"/>
              </w:rPr>
            </w:pPr>
            <w:r w:rsidRPr="00AD2E6E">
              <w:rPr>
                <w:rFonts w:ascii="Arial" w:hAnsi="Arial" w:cs="Arial"/>
              </w:rPr>
              <w:t xml:space="preserve">The extent and location of particularly vulnerable services, and </w:t>
            </w:r>
          </w:p>
          <w:p w:rsidR="00523254" w:rsidRPr="00AD2E6E" w:rsidRDefault="00523254" w:rsidP="00AD2E6E">
            <w:pPr>
              <w:numPr>
                <w:ilvl w:val="0"/>
                <w:numId w:val="3"/>
              </w:numPr>
              <w:rPr>
                <w:rFonts w:ascii="Arial" w:hAnsi="Arial" w:cs="Arial"/>
              </w:rPr>
            </w:pPr>
            <w:r w:rsidRPr="00AD2E6E">
              <w:rPr>
                <w:rFonts w:ascii="Arial" w:hAnsi="Arial" w:cs="Arial"/>
              </w:rPr>
              <w:t>Any other suitable shared information that will achieve the same aim</w:t>
            </w:r>
          </w:p>
        </w:tc>
        <w:tc>
          <w:tcPr>
            <w:tcW w:w="2520" w:type="dxa"/>
            <w:shd w:val="clear" w:color="auto" w:fill="auto"/>
          </w:tcPr>
          <w:p w:rsidR="00523254" w:rsidRPr="00AD2E6E" w:rsidRDefault="00523254">
            <w:pPr>
              <w:rPr>
                <w:rFonts w:ascii="Arial" w:hAnsi="Arial" w:cs="Arial"/>
              </w:rPr>
            </w:pPr>
            <w:r w:rsidRPr="00AD2E6E">
              <w:rPr>
                <w:rFonts w:ascii="Arial" w:hAnsi="Arial" w:cs="Arial"/>
              </w:rPr>
              <w:t>Client</w:t>
            </w:r>
          </w:p>
        </w:tc>
        <w:tc>
          <w:tcPr>
            <w:tcW w:w="2546" w:type="dxa"/>
            <w:vMerge w:val="restart"/>
            <w:shd w:val="clear" w:color="auto" w:fill="auto"/>
          </w:tcPr>
          <w:p w:rsidR="00523254" w:rsidRPr="00AD2E6E" w:rsidRDefault="00523254">
            <w:pPr>
              <w:rPr>
                <w:rFonts w:ascii="Arial" w:hAnsi="Arial" w:cs="Arial"/>
                <w:b/>
              </w:rPr>
            </w:pPr>
            <w:r w:rsidRPr="00AD2E6E">
              <w:rPr>
                <w:rFonts w:ascii="Arial" w:hAnsi="Arial" w:cs="Arial"/>
                <w:b/>
              </w:rPr>
              <w:t>NRSWA</w:t>
            </w:r>
          </w:p>
          <w:p w:rsidR="00523254" w:rsidRPr="00AD2E6E" w:rsidRDefault="00523254">
            <w:pPr>
              <w:rPr>
                <w:rFonts w:ascii="Arial" w:hAnsi="Arial" w:cs="Arial"/>
                <w:b/>
              </w:rPr>
            </w:pPr>
            <w:r w:rsidRPr="00AD2E6E">
              <w:rPr>
                <w:rFonts w:ascii="Arial" w:hAnsi="Arial" w:cs="Arial"/>
                <w:b/>
              </w:rPr>
              <w:t>HSG47</w:t>
            </w:r>
          </w:p>
          <w:p w:rsidR="00523254" w:rsidRPr="00AD2E6E" w:rsidRDefault="00523254">
            <w:pPr>
              <w:rPr>
                <w:rFonts w:ascii="Arial" w:hAnsi="Arial" w:cs="Arial"/>
                <w:b/>
              </w:rPr>
            </w:pPr>
            <w:r w:rsidRPr="00AD2E6E">
              <w:rPr>
                <w:rFonts w:ascii="Arial" w:hAnsi="Arial" w:cs="Arial"/>
                <w:b/>
              </w:rPr>
              <w:t>CDM</w:t>
            </w:r>
          </w:p>
          <w:p w:rsidR="00523254" w:rsidRPr="00AD2E6E" w:rsidRDefault="00523254">
            <w:pPr>
              <w:rPr>
                <w:rFonts w:ascii="Arial" w:hAnsi="Arial" w:cs="Arial"/>
                <w:b/>
              </w:rPr>
            </w:pPr>
            <w:r w:rsidRPr="00AD2E6E">
              <w:rPr>
                <w:rFonts w:ascii="Arial" w:hAnsi="Arial" w:cs="Arial"/>
                <w:b/>
              </w:rPr>
              <w:t>PUWER</w:t>
            </w:r>
          </w:p>
          <w:p w:rsidR="00523254" w:rsidRPr="00AD2E6E" w:rsidRDefault="00523254">
            <w:pPr>
              <w:rPr>
                <w:rFonts w:ascii="Arial" w:hAnsi="Arial" w:cs="Arial"/>
              </w:rPr>
            </w:pPr>
          </w:p>
        </w:tc>
      </w:tr>
      <w:tr w:rsidR="00523254" w:rsidRPr="00AD2E6E" w:rsidTr="00AD2E6E">
        <w:tc>
          <w:tcPr>
            <w:tcW w:w="1908" w:type="dxa"/>
            <w:vMerge/>
            <w:shd w:val="clear" w:color="auto" w:fill="auto"/>
          </w:tcPr>
          <w:p w:rsidR="00523254" w:rsidRPr="00AD2E6E" w:rsidRDefault="00523254">
            <w:pPr>
              <w:rPr>
                <w:rFonts w:ascii="Arial" w:hAnsi="Arial" w:cs="Arial"/>
              </w:rPr>
            </w:pPr>
          </w:p>
        </w:tc>
        <w:tc>
          <w:tcPr>
            <w:tcW w:w="7200" w:type="dxa"/>
            <w:shd w:val="clear" w:color="auto" w:fill="auto"/>
          </w:tcPr>
          <w:p w:rsidR="00523254" w:rsidRPr="00AD2E6E" w:rsidRDefault="00523254">
            <w:pPr>
              <w:rPr>
                <w:rFonts w:ascii="Arial" w:hAnsi="Arial" w:cs="Arial"/>
              </w:rPr>
            </w:pPr>
            <w:r w:rsidRPr="00AD2E6E">
              <w:rPr>
                <w:rFonts w:ascii="Arial" w:hAnsi="Arial" w:cs="Arial"/>
              </w:rPr>
              <w:t>Ensure that items are included in the contract documentation to allow the contractor to price for;</w:t>
            </w:r>
          </w:p>
          <w:p w:rsidR="00523254" w:rsidRPr="00AD2E6E" w:rsidRDefault="00523254" w:rsidP="00AD2E6E">
            <w:pPr>
              <w:numPr>
                <w:ilvl w:val="0"/>
                <w:numId w:val="3"/>
              </w:numPr>
              <w:rPr>
                <w:rFonts w:ascii="Arial" w:hAnsi="Arial" w:cs="Arial"/>
              </w:rPr>
            </w:pPr>
            <w:r w:rsidRPr="00AD2E6E">
              <w:rPr>
                <w:rFonts w:ascii="Arial" w:hAnsi="Arial" w:cs="Arial"/>
              </w:rPr>
              <w:t>Work at, near to or with services</w:t>
            </w:r>
          </w:p>
          <w:p w:rsidR="00523254" w:rsidRPr="00AD2E6E" w:rsidRDefault="00523254" w:rsidP="00AD2E6E">
            <w:pPr>
              <w:numPr>
                <w:ilvl w:val="0"/>
                <w:numId w:val="3"/>
              </w:numPr>
              <w:rPr>
                <w:rFonts w:ascii="Arial" w:hAnsi="Arial" w:cs="Arial"/>
              </w:rPr>
            </w:pPr>
            <w:r w:rsidRPr="00AD2E6E">
              <w:rPr>
                <w:rFonts w:ascii="Arial" w:hAnsi="Arial" w:cs="Arial"/>
              </w:rPr>
              <w:t>Any additional investigations, including, if necessary the digging of trial holes to establish exact locations of underground services prior to excavation.</w:t>
            </w:r>
          </w:p>
        </w:tc>
        <w:tc>
          <w:tcPr>
            <w:tcW w:w="2520" w:type="dxa"/>
            <w:shd w:val="clear" w:color="auto" w:fill="auto"/>
          </w:tcPr>
          <w:p w:rsidR="00523254" w:rsidRPr="00AD2E6E" w:rsidRDefault="00523254">
            <w:pPr>
              <w:rPr>
                <w:rFonts w:ascii="Arial" w:hAnsi="Arial" w:cs="Arial"/>
              </w:rPr>
            </w:pPr>
            <w:r w:rsidRPr="00AD2E6E">
              <w:rPr>
                <w:rFonts w:ascii="Arial" w:hAnsi="Arial" w:cs="Arial"/>
              </w:rPr>
              <w:t>Client</w:t>
            </w:r>
          </w:p>
        </w:tc>
        <w:tc>
          <w:tcPr>
            <w:tcW w:w="2546" w:type="dxa"/>
            <w:vMerge/>
            <w:shd w:val="clear" w:color="auto" w:fill="auto"/>
          </w:tcPr>
          <w:p w:rsidR="00523254" w:rsidRPr="00AD2E6E" w:rsidRDefault="00523254">
            <w:pPr>
              <w:rPr>
                <w:rFonts w:ascii="Arial" w:hAnsi="Arial" w:cs="Arial"/>
              </w:rPr>
            </w:pPr>
          </w:p>
        </w:tc>
      </w:tr>
      <w:tr w:rsidR="00523254" w:rsidRPr="00AD2E6E" w:rsidTr="00AD2E6E">
        <w:tc>
          <w:tcPr>
            <w:tcW w:w="1908" w:type="dxa"/>
            <w:vMerge/>
            <w:shd w:val="clear" w:color="auto" w:fill="auto"/>
          </w:tcPr>
          <w:p w:rsidR="00523254" w:rsidRPr="00AD2E6E" w:rsidRDefault="00523254">
            <w:pPr>
              <w:rPr>
                <w:rFonts w:ascii="Arial" w:hAnsi="Arial" w:cs="Arial"/>
              </w:rPr>
            </w:pPr>
          </w:p>
        </w:tc>
        <w:tc>
          <w:tcPr>
            <w:tcW w:w="7200" w:type="dxa"/>
            <w:shd w:val="clear" w:color="auto" w:fill="auto"/>
          </w:tcPr>
          <w:p w:rsidR="00523254" w:rsidRPr="00AD2E6E" w:rsidRDefault="00523254">
            <w:pPr>
              <w:rPr>
                <w:rFonts w:ascii="Arial" w:hAnsi="Arial" w:cs="Arial"/>
              </w:rPr>
            </w:pPr>
            <w:r w:rsidRPr="00AD2E6E">
              <w:rPr>
                <w:rFonts w:ascii="Arial" w:hAnsi="Arial" w:cs="Arial"/>
              </w:rPr>
              <w:t>Evaluate tender submissions to ensure that systems are in place to provide competent people and adequate resources for safe working at or near underground services, including service location training, digging and reinstating practices and the recording of services.</w:t>
            </w:r>
          </w:p>
        </w:tc>
        <w:tc>
          <w:tcPr>
            <w:tcW w:w="2520" w:type="dxa"/>
            <w:shd w:val="clear" w:color="auto" w:fill="auto"/>
          </w:tcPr>
          <w:p w:rsidR="00523254" w:rsidRPr="00AD2E6E" w:rsidRDefault="00523254">
            <w:pPr>
              <w:rPr>
                <w:rFonts w:ascii="Arial" w:hAnsi="Arial" w:cs="Arial"/>
              </w:rPr>
            </w:pPr>
            <w:r w:rsidRPr="00AD2E6E">
              <w:rPr>
                <w:rFonts w:ascii="Arial" w:hAnsi="Arial" w:cs="Arial"/>
              </w:rPr>
              <w:t>Client</w:t>
            </w:r>
          </w:p>
        </w:tc>
        <w:tc>
          <w:tcPr>
            <w:tcW w:w="2546" w:type="dxa"/>
            <w:vMerge/>
            <w:shd w:val="clear" w:color="auto" w:fill="auto"/>
          </w:tcPr>
          <w:p w:rsidR="00523254" w:rsidRPr="00AD2E6E" w:rsidRDefault="00523254">
            <w:pPr>
              <w:rPr>
                <w:rFonts w:ascii="Arial" w:hAnsi="Arial" w:cs="Arial"/>
              </w:rPr>
            </w:pPr>
          </w:p>
        </w:tc>
      </w:tr>
      <w:tr w:rsidR="00481934" w:rsidRPr="00AD2E6E" w:rsidTr="00AD2E6E">
        <w:tc>
          <w:tcPr>
            <w:tcW w:w="1908" w:type="dxa"/>
            <w:vMerge w:val="restart"/>
            <w:shd w:val="clear" w:color="auto" w:fill="auto"/>
          </w:tcPr>
          <w:p w:rsidR="00481934" w:rsidRPr="00AD2E6E" w:rsidRDefault="00481934">
            <w:pPr>
              <w:rPr>
                <w:rFonts w:ascii="Arial" w:hAnsi="Arial" w:cs="Arial"/>
              </w:rPr>
            </w:pPr>
            <w:r w:rsidRPr="00AD2E6E">
              <w:rPr>
                <w:rFonts w:ascii="Arial" w:hAnsi="Arial" w:cs="Arial"/>
              </w:rPr>
              <w:t>Construction</w:t>
            </w:r>
          </w:p>
        </w:tc>
        <w:tc>
          <w:tcPr>
            <w:tcW w:w="7200" w:type="dxa"/>
            <w:shd w:val="clear" w:color="auto" w:fill="auto"/>
          </w:tcPr>
          <w:p w:rsidR="00481934" w:rsidRPr="00AD2E6E" w:rsidRDefault="00481934">
            <w:pPr>
              <w:rPr>
                <w:rFonts w:ascii="Arial" w:hAnsi="Arial" w:cs="Arial"/>
              </w:rPr>
            </w:pPr>
            <w:r w:rsidRPr="00AD2E6E">
              <w:rPr>
                <w:rFonts w:ascii="Arial" w:hAnsi="Arial" w:cs="Arial"/>
              </w:rPr>
              <w:t>Check with utilities that the underground services information is current and is transferred onto working plans, including vulnerable supplies and relevant features (such as valve pits, manholes, boxes, warnings, cover depth and topography change).</w:t>
            </w:r>
          </w:p>
        </w:tc>
        <w:tc>
          <w:tcPr>
            <w:tcW w:w="2520" w:type="dxa"/>
            <w:shd w:val="clear" w:color="auto" w:fill="auto"/>
          </w:tcPr>
          <w:p w:rsidR="00481934" w:rsidRPr="00AD2E6E" w:rsidRDefault="00481934">
            <w:pPr>
              <w:rPr>
                <w:rFonts w:ascii="Arial" w:hAnsi="Arial" w:cs="Arial"/>
              </w:rPr>
            </w:pPr>
            <w:r w:rsidRPr="00AD2E6E">
              <w:rPr>
                <w:rFonts w:ascii="Arial" w:hAnsi="Arial" w:cs="Arial"/>
              </w:rPr>
              <w:t>Contractor</w:t>
            </w:r>
          </w:p>
        </w:tc>
        <w:tc>
          <w:tcPr>
            <w:tcW w:w="2546" w:type="dxa"/>
            <w:vMerge w:val="restart"/>
            <w:shd w:val="clear" w:color="auto" w:fill="auto"/>
          </w:tcPr>
          <w:p w:rsidR="00481934" w:rsidRPr="00AD2E6E" w:rsidRDefault="00481934">
            <w:pPr>
              <w:rPr>
                <w:rFonts w:ascii="Arial" w:hAnsi="Arial" w:cs="Arial"/>
                <w:b/>
              </w:rPr>
            </w:pPr>
            <w:r w:rsidRPr="00AD2E6E">
              <w:rPr>
                <w:rFonts w:ascii="Arial" w:hAnsi="Arial" w:cs="Arial"/>
                <w:b/>
              </w:rPr>
              <w:t>NRSWA</w:t>
            </w:r>
          </w:p>
          <w:p w:rsidR="00481934" w:rsidRPr="00AD2E6E" w:rsidRDefault="00481934">
            <w:pPr>
              <w:rPr>
                <w:rFonts w:ascii="Arial" w:hAnsi="Arial" w:cs="Arial"/>
                <w:b/>
              </w:rPr>
            </w:pPr>
            <w:r w:rsidRPr="00AD2E6E">
              <w:rPr>
                <w:rFonts w:ascii="Arial" w:hAnsi="Arial" w:cs="Arial"/>
                <w:b/>
              </w:rPr>
              <w:t>HSWA</w:t>
            </w:r>
          </w:p>
          <w:p w:rsidR="00481934" w:rsidRPr="00AD2E6E" w:rsidRDefault="00481934">
            <w:pPr>
              <w:rPr>
                <w:rFonts w:ascii="Arial" w:hAnsi="Arial" w:cs="Arial"/>
                <w:b/>
              </w:rPr>
            </w:pPr>
            <w:r w:rsidRPr="00AD2E6E">
              <w:rPr>
                <w:rFonts w:ascii="Arial" w:hAnsi="Arial" w:cs="Arial"/>
                <w:b/>
              </w:rPr>
              <w:t>HSG47</w:t>
            </w:r>
          </w:p>
          <w:p w:rsidR="00481934" w:rsidRPr="00AD2E6E" w:rsidRDefault="00481934">
            <w:pPr>
              <w:rPr>
                <w:rFonts w:ascii="Arial" w:hAnsi="Arial" w:cs="Arial"/>
                <w:b/>
              </w:rPr>
            </w:pPr>
            <w:r w:rsidRPr="00AD2E6E">
              <w:rPr>
                <w:rFonts w:ascii="Arial" w:hAnsi="Arial" w:cs="Arial"/>
                <w:b/>
              </w:rPr>
              <w:t>MHSW</w:t>
            </w:r>
          </w:p>
          <w:p w:rsidR="00481934" w:rsidRPr="00AD2E6E" w:rsidRDefault="00481934">
            <w:pPr>
              <w:rPr>
                <w:rFonts w:ascii="Arial" w:hAnsi="Arial" w:cs="Arial"/>
                <w:b/>
              </w:rPr>
            </w:pPr>
            <w:r w:rsidRPr="00AD2E6E">
              <w:rPr>
                <w:rFonts w:ascii="Arial" w:hAnsi="Arial" w:cs="Arial"/>
                <w:b/>
              </w:rPr>
              <w:t>L144</w:t>
            </w:r>
          </w:p>
          <w:p w:rsidR="00481934" w:rsidRPr="00AD2E6E" w:rsidRDefault="00481934">
            <w:pPr>
              <w:rPr>
                <w:rFonts w:ascii="Arial" w:hAnsi="Arial" w:cs="Arial"/>
              </w:rPr>
            </w:pPr>
            <w:r w:rsidRPr="00AD2E6E">
              <w:rPr>
                <w:rFonts w:ascii="Arial" w:hAnsi="Arial" w:cs="Arial"/>
                <w:b/>
              </w:rPr>
              <w:t>CDM</w:t>
            </w:r>
          </w:p>
        </w:tc>
      </w:tr>
      <w:tr w:rsidR="00481934" w:rsidRPr="00AD2E6E" w:rsidTr="00AD2E6E">
        <w:tc>
          <w:tcPr>
            <w:tcW w:w="1908" w:type="dxa"/>
            <w:vMerge/>
            <w:shd w:val="clear" w:color="auto" w:fill="auto"/>
          </w:tcPr>
          <w:p w:rsidR="00481934" w:rsidRPr="00AD2E6E" w:rsidRDefault="00481934">
            <w:pPr>
              <w:rPr>
                <w:rFonts w:ascii="Arial" w:hAnsi="Arial" w:cs="Arial"/>
              </w:rPr>
            </w:pPr>
          </w:p>
        </w:tc>
        <w:tc>
          <w:tcPr>
            <w:tcW w:w="7200" w:type="dxa"/>
            <w:shd w:val="clear" w:color="auto" w:fill="auto"/>
          </w:tcPr>
          <w:p w:rsidR="00481934" w:rsidRPr="00AD2E6E" w:rsidRDefault="00481934">
            <w:pPr>
              <w:rPr>
                <w:rFonts w:ascii="Arial" w:hAnsi="Arial" w:cs="Arial"/>
              </w:rPr>
            </w:pPr>
            <w:r w:rsidRPr="00AD2E6E">
              <w:rPr>
                <w:rFonts w:ascii="Arial" w:hAnsi="Arial" w:cs="Arial"/>
              </w:rPr>
              <w:t>Competent operatives and their managers/supervisors are to be in a position to:</w:t>
            </w:r>
          </w:p>
          <w:p w:rsidR="00481934" w:rsidRPr="00AD2E6E" w:rsidRDefault="00481934" w:rsidP="00AD2E6E">
            <w:pPr>
              <w:numPr>
                <w:ilvl w:val="0"/>
                <w:numId w:val="4"/>
              </w:numPr>
              <w:rPr>
                <w:rFonts w:ascii="Arial" w:hAnsi="Arial" w:cs="Arial"/>
              </w:rPr>
            </w:pPr>
            <w:r w:rsidRPr="00AD2E6E">
              <w:rPr>
                <w:rFonts w:ascii="Arial" w:hAnsi="Arial" w:cs="Arial"/>
              </w:rPr>
              <w:t>Use, and maintain service detection equipment</w:t>
            </w:r>
          </w:p>
          <w:p w:rsidR="00481934" w:rsidRPr="00AD2E6E" w:rsidRDefault="00481934" w:rsidP="00AD2E6E">
            <w:pPr>
              <w:numPr>
                <w:ilvl w:val="0"/>
                <w:numId w:val="4"/>
              </w:numPr>
              <w:rPr>
                <w:rFonts w:ascii="Arial" w:hAnsi="Arial" w:cs="Arial"/>
              </w:rPr>
            </w:pPr>
            <w:r w:rsidRPr="00AD2E6E">
              <w:rPr>
                <w:rFonts w:ascii="Arial" w:hAnsi="Arial" w:cs="Arial"/>
              </w:rPr>
              <w:t>Read and interpret plans, drawings, maps and guidance documents</w:t>
            </w:r>
          </w:p>
          <w:p w:rsidR="00481934" w:rsidRPr="00AD2E6E" w:rsidRDefault="00481934" w:rsidP="00AD2E6E">
            <w:pPr>
              <w:numPr>
                <w:ilvl w:val="0"/>
                <w:numId w:val="4"/>
              </w:numPr>
              <w:rPr>
                <w:rFonts w:ascii="Arial" w:hAnsi="Arial" w:cs="Arial"/>
              </w:rPr>
            </w:pPr>
            <w:r w:rsidRPr="00AD2E6E">
              <w:rPr>
                <w:rFonts w:ascii="Arial" w:hAnsi="Arial" w:cs="Arial"/>
              </w:rPr>
              <w:t>Know safe digging techniques (including the selection and use of mobile plant)</w:t>
            </w:r>
          </w:p>
          <w:p w:rsidR="00481934" w:rsidRPr="00AD2E6E" w:rsidRDefault="00481934" w:rsidP="00AD2E6E">
            <w:pPr>
              <w:numPr>
                <w:ilvl w:val="0"/>
                <w:numId w:val="4"/>
              </w:numPr>
              <w:rPr>
                <w:rFonts w:ascii="Arial" w:hAnsi="Arial" w:cs="Arial"/>
              </w:rPr>
            </w:pPr>
            <w:r w:rsidRPr="00AD2E6E">
              <w:rPr>
                <w:rFonts w:ascii="Arial" w:hAnsi="Arial" w:cs="Arial"/>
              </w:rPr>
              <w:t xml:space="preserve">Know how to mark out on site and record service information, and </w:t>
            </w:r>
          </w:p>
          <w:p w:rsidR="00481934" w:rsidRPr="00AD2E6E" w:rsidRDefault="00481934" w:rsidP="00AD2E6E">
            <w:pPr>
              <w:numPr>
                <w:ilvl w:val="0"/>
                <w:numId w:val="4"/>
              </w:numPr>
              <w:rPr>
                <w:rFonts w:ascii="Arial" w:hAnsi="Arial" w:cs="Arial"/>
              </w:rPr>
            </w:pPr>
            <w:r w:rsidRPr="00AD2E6E">
              <w:rPr>
                <w:rFonts w:ascii="Arial" w:hAnsi="Arial" w:cs="Arial"/>
              </w:rPr>
              <w:lastRenderedPageBreak/>
              <w:t>Implement first response and emergency response arrangements</w:t>
            </w:r>
          </w:p>
          <w:p w:rsidR="00481934" w:rsidRPr="00AD2E6E" w:rsidRDefault="00481934" w:rsidP="00481934">
            <w:pPr>
              <w:rPr>
                <w:rFonts w:ascii="Arial" w:hAnsi="Arial" w:cs="Arial"/>
              </w:rPr>
            </w:pPr>
            <w:r w:rsidRPr="00AD2E6E">
              <w:rPr>
                <w:rFonts w:ascii="Arial" w:hAnsi="Arial" w:cs="Arial"/>
              </w:rPr>
              <w:t>NOTE: Competence level to be identified in method statement.</w:t>
            </w:r>
          </w:p>
        </w:tc>
        <w:tc>
          <w:tcPr>
            <w:tcW w:w="2520" w:type="dxa"/>
            <w:shd w:val="clear" w:color="auto" w:fill="auto"/>
          </w:tcPr>
          <w:p w:rsidR="00481934" w:rsidRPr="00AD2E6E" w:rsidRDefault="00481934">
            <w:pPr>
              <w:rPr>
                <w:rFonts w:ascii="Arial" w:hAnsi="Arial" w:cs="Arial"/>
              </w:rPr>
            </w:pPr>
            <w:r w:rsidRPr="00AD2E6E">
              <w:rPr>
                <w:rFonts w:ascii="Arial" w:hAnsi="Arial" w:cs="Arial"/>
              </w:rPr>
              <w:lastRenderedPageBreak/>
              <w:t>Contractor</w:t>
            </w:r>
          </w:p>
        </w:tc>
        <w:tc>
          <w:tcPr>
            <w:tcW w:w="2546" w:type="dxa"/>
            <w:vMerge/>
            <w:shd w:val="clear" w:color="auto" w:fill="auto"/>
          </w:tcPr>
          <w:p w:rsidR="00481934" w:rsidRPr="00AD2E6E" w:rsidRDefault="00481934">
            <w:pPr>
              <w:rPr>
                <w:rFonts w:ascii="Arial" w:hAnsi="Arial" w:cs="Arial"/>
              </w:rPr>
            </w:pPr>
          </w:p>
        </w:tc>
      </w:tr>
      <w:tr w:rsidR="00481934" w:rsidRPr="00AD2E6E" w:rsidTr="00AD2E6E">
        <w:tc>
          <w:tcPr>
            <w:tcW w:w="1908" w:type="dxa"/>
            <w:vMerge/>
            <w:shd w:val="clear" w:color="auto" w:fill="auto"/>
          </w:tcPr>
          <w:p w:rsidR="00481934" w:rsidRPr="00AD2E6E" w:rsidRDefault="00481934">
            <w:pPr>
              <w:rPr>
                <w:rFonts w:ascii="Arial" w:hAnsi="Arial" w:cs="Arial"/>
              </w:rPr>
            </w:pPr>
          </w:p>
        </w:tc>
        <w:tc>
          <w:tcPr>
            <w:tcW w:w="7200" w:type="dxa"/>
            <w:shd w:val="clear" w:color="auto" w:fill="auto"/>
          </w:tcPr>
          <w:p w:rsidR="00481934" w:rsidRPr="00AD2E6E" w:rsidRDefault="00481934">
            <w:pPr>
              <w:rPr>
                <w:rFonts w:ascii="Arial" w:hAnsi="Arial" w:cs="Arial"/>
              </w:rPr>
            </w:pPr>
            <w:r w:rsidRPr="00AD2E6E">
              <w:rPr>
                <w:rFonts w:ascii="Arial" w:hAnsi="Arial" w:cs="Arial"/>
              </w:rPr>
              <w:t>Method statements for working near underground services to include but not be limited to;</w:t>
            </w:r>
          </w:p>
          <w:p w:rsidR="00481934" w:rsidRPr="00AD2E6E" w:rsidRDefault="00481934" w:rsidP="00AD2E6E">
            <w:pPr>
              <w:numPr>
                <w:ilvl w:val="0"/>
                <w:numId w:val="5"/>
              </w:numPr>
              <w:rPr>
                <w:rFonts w:ascii="Arial" w:hAnsi="Arial" w:cs="Arial"/>
              </w:rPr>
            </w:pPr>
            <w:r w:rsidRPr="00AD2E6E">
              <w:rPr>
                <w:rFonts w:ascii="Arial" w:hAnsi="Arial" w:cs="Arial"/>
              </w:rPr>
              <w:t>Description and location of the works</w:t>
            </w:r>
          </w:p>
          <w:p w:rsidR="00481934" w:rsidRPr="00AD2E6E" w:rsidRDefault="00481934" w:rsidP="00AD2E6E">
            <w:pPr>
              <w:numPr>
                <w:ilvl w:val="0"/>
                <w:numId w:val="5"/>
              </w:numPr>
              <w:rPr>
                <w:rFonts w:ascii="Arial" w:hAnsi="Arial" w:cs="Arial"/>
              </w:rPr>
            </w:pPr>
            <w:r w:rsidRPr="00AD2E6E">
              <w:rPr>
                <w:rFonts w:ascii="Arial" w:hAnsi="Arial" w:cs="Arial"/>
              </w:rPr>
              <w:t>Roles and responsibilities (including supervision arrangements)</w:t>
            </w:r>
          </w:p>
          <w:p w:rsidR="00481934" w:rsidRPr="00AD2E6E" w:rsidRDefault="00481934" w:rsidP="00AD2E6E">
            <w:pPr>
              <w:numPr>
                <w:ilvl w:val="0"/>
                <w:numId w:val="5"/>
              </w:numPr>
              <w:rPr>
                <w:rFonts w:ascii="Arial" w:hAnsi="Arial" w:cs="Arial"/>
              </w:rPr>
            </w:pPr>
            <w:r w:rsidRPr="00AD2E6E">
              <w:rPr>
                <w:rFonts w:ascii="Arial" w:hAnsi="Arial" w:cs="Arial"/>
              </w:rPr>
              <w:t>Sequence of work activities (including specific site rules and any restrictions)</w:t>
            </w:r>
          </w:p>
          <w:p w:rsidR="00481934" w:rsidRPr="00AD2E6E" w:rsidRDefault="00481934" w:rsidP="00AD2E6E">
            <w:pPr>
              <w:numPr>
                <w:ilvl w:val="0"/>
                <w:numId w:val="5"/>
              </w:numPr>
              <w:rPr>
                <w:rFonts w:ascii="Arial" w:hAnsi="Arial" w:cs="Arial"/>
              </w:rPr>
            </w:pPr>
            <w:r w:rsidRPr="00AD2E6E">
              <w:rPr>
                <w:rFonts w:ascii="Arial" w:hAnsi="Arial" w:cs="Arial"/>
              </w:rPr>
              <w:t>Appropriate operational safety controls (including safe digging practices, resources and emergency response arrangements)</w:t>
            </w:r>
          </w:p>
          <w:p w:rsidR="00481934" w:rsidRPr="00AD2E6E" w:rsidRDefault="00481934" w:rsidP="00AD2E6E">
            <w:pPr>
              <w:numPr>
                <w:ilvl w:val="0"/>
                <w:numId w:val="5"/>
              </w:numPr>
              <w:rPr>
                <w:rFonts w:ascii="Arial" w:hAnsi="Arial" w:cs="Arial"/>
              </w:rPr>
            </w:pPr>
            <w:r w:rsidRPr="00AD2E6E">
              <w:rPr>
                <w:rFonts w:ascii="Arial" w:hAnsi="Arial" w:cs="Arial"/>
              </w:rPr>
              <w:t>Competence level of named operatives and their supervisors/managers</w:t>
            </w:r>
          </w:p>
        </w:tc>
        <w:tc>
          <w:tcPr>
            <w:tcW w:w="2520" w:type="dxa"/>
            <w:shd w:val="clear" w:color="auto" w:fill="auto"/>
          </w:tcPr>
          <w:p w:rsidR="00481934" w:rsidRPr="00AD2E6E" w:rsidRDefault="00481934">
            <w:pPr>
              <w:rPr>
                <w:rFonts w:ascii="Arial" w:hAnsi="Arial" w:cs="Arial"/>
              </w:rPr>
            </w:pPr>
            <w:r w:rsidRPr="00AD2E6E">
              <w:rPr>
                <w:rFonts w:ascii="Arial" w:hAnsi="Arial" w:cs="Arial"/>
              </w:rPr>
              <w:t>Contractor</w:t>
            </w:r>
          </w:p>
        </w:tc>
        <w:tc>
          <w:tcPr>
            <w:tcW w:w="2546" w:type="dxa"/>
            <w:vMerge/>
            <w:shd w:val="clear" w:color="auto" w:fill="auto"/>
          </w:tcPr>
          <w:p w:rsidR="00481934" w:rsidRPr="00AD2E6E" w:rsidRDefault="00481934">
            <w:pPr>
              <w:rPr>
                <w:rFonts w:ascii="Arial" w:hAnsi="Arial" w:cs="Arial"/>
              </w:rPr>
            </w:pPr>
          </w:p>
        </w:tc>
      </w:tr>
      <w:tr w:rsidR="00600CDA" w:rsidRPr="00AD2E6E" w:rsidTr="00AD2E6E">
        <w:tc>
          <w:tcPr>
            <w:tcW w:w="1908" w:type="dxa"/>
            <w:vMerge w:val="restart"/>
            <w:shd w:val="clear" w:color="auto" w:fill="auto"/>
          </w:tcPr>
          <w:p w:rsidR="00600CDA" w:rsidRPr="00AD2E6E" w:rsidRDefault="00600CDA">
            <w:pPr>
              <w:rPr>
                <w:rFonts w:ascii="Arial" w:hAnsi="Arial" w:cs="Arial"/>
              </w:rPr>
            </w:pPr>
            <w:r w:rsidRPr="00AD2E6E">
              <w:rPr>
                <w:rFonts w:ascii="Arial" w:hAnsi="Arial" w:cs="Arial"/>
              </w:rPr>
              <w:t>Construction (cont.)</w:t>
            </w:r>
          </w:p>
        </w:tc>
        <w:tc>
          <w:tcPr>
            <w:tcW w:w="7200" w:type="dxa"/>
            <w:shd w:val="clear" w:color="auto" w:fill="auto"/>
          </w:tcPr>
          <w:p w:rsidR="00600CDA" w:rsidRPr="00AD2E6E" w:rsidRDefault="00600CDA">
            <w:pPr>
              <w:rPr>
                <w:rFonts w:ascii="Arial" w:hAnsi="Arial" w:cs="Arial"/>
              </w:rPr>
            </w:pPr>
            <w:r w:rsidRPr="00AD2E6E">
              <w:rPr>
                <w:rFonts w:ascii="Arial" w:hAnsi="Arial" w:cs="Arial"/>
              </w:rPr>
              <w:t>Supervisors / managers and operatives to hold the appropriate Streetworks certificates</w:t>
            </w:r>
          </w:p>
        </w:tc>
        <w:tc>
          <w:tcPr>
            <w:tcW w:w="2520" w:type="dxa"/>
            <w:shd w:val="clear" w:color="auto" w:fill="auto"/>
          </w:tcPr>
          <w:p w:rsidR="00600CDA" w:rsidRPr="00AD2E6E" w:rsidRDefault="00600CDA">
            <w:pPr>
              <w:rPr>
                <w:rFonts w:ascii="Arial" w:hAnsi="Arial" w:cs="Arial"/>
              </w:rPr>
            </w:pPr>
          </w:p>
        </w:tc>
        <w:tc>
          <w:tcPr>
            <w:tcW w:w="2546" w:type="dxa"/>
            <w:vMerge w:val="restart"/>
            <w:shd w:val="clear" w:color="auto" w:fill="auto"/>
          </w:tcPr>
          <w:p w:rsidR="00600CDA" w:rsidRPr="00AD2E6E" w:rsidRDefault="00600CDA">
            <w:pPr>
              <w:rPr>
                <w:rFonts w:ascii="Arial" w:hAnsi="Arial" w:cs="Arial"/>
                <w:b/>
              </w:rPr>
            </w:pPr>
            <w:r w:rsidRPr="00AD2E6E">
              <w:rPr>
                <w:rFonts w:ascii="Arial" w:hAnsi="Arial" w:cs="Arial"/>
                <w:b/>
              </w:rPr>
              <w:t>NRSWA</w:t>
            </w:r>
          </w:p>
          <w:p w:rsidR="00600CDA" w:rsidRPr="00AD2E6E" w:rsidRDefault="00600CDA">
            <w:pPr>
              <w:rPr>
                <w:rFonts w:ascii="Arial" w:hAnsi="Arial" w:cs="Arial"/>
                <w:b/>
              </w:rPr>
            </w:pPr>
            <w:r w:rsidRPr="00AD2E6E">
              <w:rPr>
                <w:rFonts w:ascii="Arial" w:hAnsi="Arial" w:cs="Arial"/>
                <w:b/>
              </w:rPr>
              <w:t>CDM</w:t>
            </w:r>
          </w:p>
          <w:p w:rsidR="00600CDA" w:rsidRPr="00AD2E6E" w:rsidRDefault="00600CDA">
            <w:pPr>
              <w:rPr>
                <w:rFonts w:ascii="Arial" w:hAnsi="Arial" w:cs="Arial"/>
                <w:b/>
              </w:rPr>
            </w:pPr>
            <w:r w:rsidRPr="00AD2E6E">
              <w:rPr>
                <w:rFonts w:ascii="Arial" w:hAnsi="Arial" w:cs="Arial"/>
                <w:b/>
              </w:rPr>
              <w:t>MHSW</w:t>
            </w:r>
          </w:p>
          <w:p w:rsidR="00600CDA" w:rsidRPr="00AD2E6E" w:rsidRDefault="00600CDA">
            <w:pPr>
              <w:rPr>
                <w:rFonts w:ascii="Arial" w:hAnsi="Arial" w:cs="Arial"/>
              </w:rPr>
            </w:pPr>
            <w:r w:rsidRPr="00AD2E6E">
              <w:rPr>
                <w:rFonts w:ascii="Arial" w:hAnsi="Arial" w:cs="Arial"/>
                <w:b/>
              </w:rPr>
              <w:t>HSG47</w:t>
            </w:r>
          </w:p>
        </w:tc>
      </w:tr>
      <w:tr w:rsidR="00600CDA" w:rsidRPr="00AD2E6E" w:rsidTr="00AD2E6E">
        <w:tc>
          <w:tcPr>
            <w:tcW w:w="1908" w:type="dxa"/>
            <w:vMerge/>
            <w:shd w:val="clear" w:color="auto" w:fill="auto"/>
          </w:tcPr>
          <w:p w:rsidR="00600CDA" w:rsidRPr="00AD2E6E" w:rsidRDefault="00600CDA">
            <w:pPr>
              <w:rPr>
                <w:rFonts w:ascii="Arial" w:hAnsi="Arial" w:cs="Arial"/>
              </w:rPr>
            </w:pPr>
          </w:p>
        </w:tc>
        <w:tc>
          <w:tcPr>
            <w:tcW w:w="7200" w:type="dxa"/>
            <w:shd w:val="clear" w:color="auto" w:fill="auto"/>
          </w:tcPr>
          <w:p w:rsidR="00600CDA" w:rsidRPr="00AD2E6E" w:rsidRDefault="00600CDA">
            <w:pPr>
              <w:rPr>
                <w:rFonts w:ascii="Arial" w:hAnsi="Arial" w:cs="Arial"/>
              </w:rPr>
            </w:pPr>
            <w:r w:rsidRPr="00AD2E6E">
              <w:rPr>
                <w:rFonts w:ascii="Arial" w:hAnsi="Arial" w:cs="Arial"/>
              </w:rPr>
              <w:t>Carry out additional investigation, which should include the digging of trial holes to establish exact locations of underground services prior to mechanical excavation.</w:t>
            </w:r>
          </w:p>
        </w:tc>
        <w:tc>
          <w:tcPr>
            <w:tcW w:w="2520" w:type="dxa"/>
            <w:shd w:val="clear" w:color="auto" w:fill="auto"/>
          </w:tcPr>
          <w:p w:rsidR="00600CDA" w:rsidRPr="00AD2E6E" w:rsidRDefault="00600CDA">
            <w:pPr>
              <w:rPr>
                <w:rFonts w:ascii="Arial" w:hAnsi="Arial" w:cs="Arial"/>
              </w:rPr>
            </w:pPr>
          </w:p>
        </w:tc>
        <w:tc>
          <w:tcPr>
            <w:tcW w:w="2546" w:type="dxa"/>
            <w:vMerge/>
            <w:shd w:val="clear" w:color="auto" w:fill="auto"/>
          </w:tcPr>
          <w:p w:rsidR="00600CDA" w:rsidRPr="00AD2E6E" w:rsidRDefault="00600CDA">
            <w:pPr>
              <w:rPr>
                <w:rFonts w:ascii="Arial" w:hAnsi="Arial" w:cs="Arial"/>
              </w:rPr>
            </w:pPr>
          </w:p>
        </w:tc>
      </w:tr>
      <w:tr w:rsidR="00600CDA" w:rsidRPr="00AD2E6E" w:rsidTr="00AD2E6E">
        <w:tc>
          <w:tcPr>
            <w:tcW w:w="1908" w:type="dxa"/>
            <w:vMerge/>
            <w:shd w:val="clear" w:color="auto" w:fill="auto"/>
          </w:tcPr>
          <w:p w:rsidR="00600CDA" w:rsidRPr="00AD2E6E" w:rsidRDefault="00600CDA">
            <w:pPr>
              <w:rPr>
                <w:rFonts w:ascii="Arial" w:hAnsi="Arial" w:cs="Arial"/>
              </w:rPr>
            </w:pPr>
          </w:p>
        </w:tc>
        <w:tc>
          <w:tcPr>
            <w:tcW w:w="7200" w:type="dxa"/>
            <w:shd w:val="clear" w:color="auto" w:fill="auto"/>
          </w:tcPr>
          <w:p w:rsidR="00600CDA" w:rsidRPr="00AD2E6E" w:rsidRDefault="00600CDA">
            <w:pPr>
              <w:rPr>
                <w:rFonts w:ascii="Arial" w:hAnsi="Arial" w:cs="Arial"/>
              </w:rPr>
            </w:pPr>
            <w:r w:rsidRPr="00AD2E6E">
              <w:rPr>
                <w:rFonts w:ascii="Arial" w:hAnsi="Arial" w:cs="Arial"/>
              </w:rPr>
              <w:t>Prior to finalising amendments to the design / contract drawings confirm that any potential impact on utility apparatus has been considered.</w:t>
            </w:r>
          </w:p>
        </w:tc>
        <w:tc>
          <w:tcPr>
            <w:tcW w:w="2520" w:type="dxa"/>
            <w:shd w:val="clear" w:color="auto" w:fill="auto"/>
          </w:tcPr>
          <w:p w:rsidR="00600CDA" w:rsidRPr="00AD2E6E" w:rsidRDefault="00600CDA">
            <w:pPr>
              <w:rPr>
                <w:rFonts w:ascii="Arial" w:hAnsi="Arial" w:cs="Arial"/>
              </w:rPr>
            </w:pPr>
          </w:p>
        </w:tc>
        <w:tc>
          <w:tcPr>
            <w:tcW w:w="2546" w:type="dxa"/>
            <w:vMerge/>
            <w:shd w:val="clear" w:color="auto" w:fill="auto"/>
          </w:tcPr>
          <w:p w:rsidR="00600CDA" w:rsidRPr="00AD2E6E" w:rsidRDefault="00600CDA">
            <w:pPr>
              <w:rPr>
                <w:rFonts w:ascii="Arial" w:hAnsi="Arial" w:cs="Arial"/>
              </w:rPr>
            </w:pPr>
          </w:p>
        </w:tc>
      </w:tr>
      <w:tr w:rsidR="00600CDA" w:rsidRPr="00AD2E6E" w:rsidTr="00AD2E6E">
        <w:tc>
          <w:tcPr>
            <w:tcW w:w="1908" w:type="dxa"/>
            <w:vMerge/>
            <w:shd w:val="clear" w:color="auto" w:fill="auto"/>
          </w:tcPr>
          <w:p w:rsidR="00600CDA" w:rsidRPr="00AD2E6E" w:rsidRDefault="00600CDA">
            <w:pPr>
              <w:rPr>
                <w:rFonts w:ascii="Arial" w:hAnsi="Arial" w:cs="Arial"/>
              </w:rPr>
            </w:pPr>
          </w:p>
        </w:tc>
        <w:tc>
          <w:tcPr>
            <w:tcW w:w="7200" w:type="dxa"/>
            <w:shd w:val="clear" w:color="auto" w:fill="auto"/>
          </w:tcPr>
          <w:p w:rsidR="00600CDA" w:rsidRPr="00AD2E6E" w:rsidRDefault="00600CDA">
            <w:pPr>
              <w:rPr>
                <w:rFonts w:ascii="Arial" w:hAnsi="Arial" w:cs="Arial"/>
              </w:rPr>
            </w:pPr>
            <w:r w:rsidRPr="00AD2E6E">
              <w:rPr>
                <w:rFonts w:ascii="Arial" w:hAnsi="Arial" w:cs="Arial"/>
              </w:rPr>
              <w:t xml:space="preserve">Attend site to give advice / assistance if after conducting site investigations the contractor cannot locate the service or </w:t>
            </w:r>
            <w:r w:rsidRPr="00AD2E6E">
              <w:rPr>
                <w:rFonts w:ascii="Arial" w:hAnsi="Arial" w:cs="Arial"/>
              </w:rPr>
              <w:lastRenderedPageBreak/>
              <w:t>discovers that they are embedded in concrete.</w:t>
            </w:r>
          </w:p>
        </w:tc>
        <w:tc>
          <w:tcPr>
            <w:tcW w:w="2520" w:type="dxa"/>
            <w:shd w:val="clear" w:color="auto" w:fill="auto"/>
          </w:tcPr>
          <w:p w:rsidR="00600CDA" w:rsidRPr="00AD2E6E" w:rsidRDefault="00600CDA">
            <w:pPr>
              <w:rPr>
                <w:rFonts w:ascii="Arial" w:hAnsi="Arial" w:cs="Arial"/>
              </w:rPr>
            </w:pPr>
          </w:p>
        </w:tc>
        <w:tc>
          <w:tcPr>
            <w:tcW w:w="2546" w:type="dxa"/>
            <w:vMerge/>
            <w:shd w:val="clear" w:color="auto" w:fill="auto"/>
          </w:tcPr>
          <w:p w:rsidR="00600CDA" w:rsidRPr="00AD2E6E" w:rsidRDefault="00600CDA">
            <w:pPr>
              <w:rPr>
                <w:rFonts w:ascii="Arial" w:hAnsi="Arial" w:cs="Arial"/>
              </w:rPr>
            </w:pPr>
          </w:p>
        </w:tc>
      </w:tr>
      <w:tr w:rsidR="00600CDA" w:rsidRPr="00AD2E6E" w:rsidTr="00AD2E6E">
        <w:tc>
          <w:tcPr>
            <w:tcW w:w="1908" w:type="dxa"/>
            <w:vMerge/>
            <w:shd w:val="clear" w:color="auto" w:fill="auto"/>
          </w:tcPr>
          <w:p w:rsidR="00600CDA" w:rsidRPr="00AD2E6E" w:rsidRDefault="00600CDA">
            <w:pPr>
              <w:rPr>
                <w:rFonts w:ascii="Arial" w:hAnsi="Arial" w:cs="Arial"/>
              </w:rPr>
            </w:pPr>
          </w:p>
        </w:tc>
        <w:tc>
          <w:tcPr>
            <w:tcW w:w="7200" w:type="dxa"/>
            <w:shd w:val="clear" w:color="auto" w:fill="auto"/>
          </w:tcPr>
          <w:p w:rsidR="00600CDA" w:rsidRPr="00AD2E6E" w:rsidRDefault="00600CDA">
            <w:pPr>
              <w:rPr>
                <w:rFonts w:ascii="Arial" w:hAnsi="Arial" w:cs="Arial"/>
              </w:rPr>
            </w:pPr>
            <w:r w:rsidRPr="00AD2E6E">
              <w:rPr>
                <w:rFonts w:ascii="Arial" w:hAnsi="Arial" w:cs="Arial"/>
              </w:rPr>
              <w:t>Use cable and pipe detection equipment that has been maintained and calibrated in accordance with the manufacturers instructions.</w:t>
            </w:r>
          </w:p>
        </w:tc>
        <w:tc>
          <w:tcPr>
            <w:tcW w:w="2520" w:type="dxa"/>
            <w:shd w:val="clear" w:color="auto" w:fill="auto"/>
          </w:tcPr>
          <w:p w:rsidR="00600CDA" w:rsidRPr="00AD2E6E" w:rsidRDefault="00600CDA">
            <w:pPr>
              <w:rPr>
                <w:rFonts w:ascii="Arial" w:hAnsi="Arial" w:cs="Arial"/>
              </w:rPr>
            </w:pPr>
          </w:p>
        </w:tc>
        <w:tc>
          <w:tcPr>
            <w:tcW w:w="2546" w:type="dxa"/>
            <w:vMerge/>
            <w:shd w:val="clear" w:color="auto" w:fill="auto"/>
          </w:tcPr>
          <w:p w:rsidR="00600CDA" w:rsidRPr="00AD2E6E" w:rsidRDefault="00600CDA">
            <w:pPr>
              <w:rPr>
                <w:rFonts w:ascii="Arial" w:hAnsi="Arial" w:cs="Arial"/>
              </w:rPr>
            </w:pPr>
          </w:p>
        </w:tc>
      </w:tr>
      <w:tr w:rsidR="00600CDA" w:rsidRPr="00AD2E6E" w:rsidTr="00AD2E6E">
        <w:tc>
          <w:tcPr>
            <w:tcW w:w="1908" w:type="dxa"/>
            <w:vMerge w:val="restart"/>
            <w:shd w:val="clear" w:color="auto" w:fill="auto"/>
          </w:tcPr>
          <w:p w:rsidR="00600CDA" w:rsidRPr="00AD2E6E" w:rsidRDefault="00600CDA">
            <w:pPr>
              <w:rPr>
                <w:rFonts w:ascii="Arial" w:hAnsi="Arial" w:cs="Arial"/>
              </w:rPr>
            </w:pPr>
            <w:r w:rsidRPr="00AD2E6E">
              <w:rPr>
                <w:rFonts w:ascii="Arial" w:hAnsi="Arial" w:cs="Arial"/>
              </w:rPr>
              <w:t>Commisioning and Handover</w:t>
            </w:r>
          </w:p>
        </w:tc>
        <w:tc>
          <w:tcPr>
            <w:tcW w:w="7200" w:type="dxa"/>
            <w:shd w:val="clear" w:color="auto" w:fill="auto"/>
          </w:tcPr>
          <w:p w:rsidR="00600CDA" w:rsidRPr="00AD2E6E" w:rsidRDefault="00600CDA">
            <w:pPr>
              <w:rPr>
                <w:rFonts w:ascii="Arial" w:hAnsi="Arial" w:cs="Arial"/>
              </w:rPr>
            </w:pPr>
            <w:r w:rsidRPr="00AD2E6E">
              <w:rPr>
                <w:rFonts w:ascii="Arial" w:hAnsi="Arial" w:cs="Arial"/>
              </w:rPr>
              <w:t>Provide the client with details of locations, type, configuration, line and depth of any services located, altered or installed during construction.</w:t>
            </w:r>
          </w:p>
        </w:tc>
        <w:tc>
          <w:tcPr>
            <w:tcW w:w="2520" w:type="dxa"/>
            <w:shd w:val="clear" w:color="auto" w:fill="auto"/>
          </w:tcPr>
          <w:p w:rsidR="00600CDA" w:rsidRPr="00AD2E6E" w:rsidRDefault="00600CDA">
            <w:pPr>
              <w:rPr>
                <w:rFonts w:ascii="Arial" w:hAnsi="Arial" w:cs="Arial"/>
              </w:rPr>
            </w:pPr>
            <w:r w:rsidRPr="00AD2E6E">
              <w:rPr>
                <w:rFonts w:ascii="Arial" w:hAnsi="Arial" w:cs="Arial"/>
              </w:rPr>
              <w:t>Contractor</w:t>
            </w:r>
          </w:p>
        </w:tc>
        <w:tc>
          <w:tcPr>
            <w:tcW w:w="2546" w:type="dxa"/>
            <w:vMerge w:val="restart"/>
            <w:shd w:val="clear" w:color="auto" w:fill="auto"/>
          </w:tcPr>
          <w:p w:rsidR="00600CDA" w:rsidRPr="00AD2E6E" w:rsidRDefault="00600CDA">
            <w:pPr>
              <w:rPr>
                <w:rFonts w:ascii="Arial" w:hAnsi="Arial" w:cs="Arial"/>
                <w:b/>
              </w:rPr>
            </w:pPr>
            <w:r w:rsidRPr="00AD2E6E">
              <w:rPr>
                <w:rFonts w:ascii="Arial" w:hAnsi="Arial" w:cs="Arial"/>
                <w:b/>
              </w:rPr>
              <w:t>CDM</w:t>
            </w:r>
          </w:p>
        </w:tc>
      </w:tr>
      <w:tr w:rsidR="00600CDA" w:rsidRPr="00AD2E6E" w:rsidTr="00AD2E6E">
        <w:tc>
          <w:tcPr>
            <w:tcW w:w="1908" w:type="dxa"/>
            <w:vMerge/>
            <w:shd w:val="clear" w:color="auto" w:fill="auto"/>
          </w:tcPr>
          <w:p w:rsidR="00600CDA" w:rsidRPr="00AD2E6E" w:rsidRDefault="00600CDA">
            <w:pPr>
              <w:rPr>
                <w:rFonts w:ascii="Arial" w:hAnsi="Arial" w:cs="Arial"/>
              </w:rPr>
            </w:pPr>
          </w:p>
        </w:tc>
        <w:tc>
          <w:tcPr>
            <w:tcW w:w="7200" w:type="dxa"/>
            <w:shd w:val="clear" w:color="auto" w:fill="auto"/>
          </w:tcPr>
          <w:p w:rsidR="00600CDA" w:rsidRPr="00AD2E6E" w:rsidRDefault="00600CDA">
            <w:pPr>
              <w:rPr>
                <w:rFonts w:ascii="Arial" w:hAnsi="Arial" w:cs="Arial"/>
              </w:rPr>
            </w:pPr>
            <w:r w:rsidRPr="00AD2E6E">
              <w:rPr>
                <w:rFonts w:ascii="Arial" w:hAnsi="Arial" w:cs="Arial"/>
              </w:rPr>
              <w:t>Provide utilities with details of any ‘as laid’ services information or any services located or altered during construction, including any realignment of carriageway or changes to geometry / ground levels.</w:t>
            </w:r>
          </w:p>
        </w:tc>
        <w:tc>
          <w:tcPr>
            <w:tcW w:w="2520" w:type="dxa"/>
            <w:shd w:val="clear" w:color="auto" w:fill="auto"/>
          </w:tcPr>
          <w:p w:rsidR="00600CDA" w:rsidRPr="00AD2E6E" w:rsidRDefault="00600CDA">
            <w:pPr>
              <w:rPr>
                <w:rFonts w:ascii="Arial" w:hAnsi="Arial" w:cs="Arial"/>
              </w:rPr>
            </w:pPr>
            <w:r w:rsidRPr="00AD2E6E">
              <w:rPr>
                <w:rFonts w:ascii="Arial" w:hAnsi="Arial" w:cs="Arial"/>
              </w:rPr>
              <w:t>Client</w:t>
            </w:r>
          </w:p>
        </w:tc>
        <w:tc>
          <w:tcPr>
            <w:tcW w:w="2546" w:type="dxa"/>
            <w:vMerge/>
            <w:shd w:val="clear" w:color="auto" w:fill="auto"/>
          </w:tcPr>
          <w:p w:rsidR="00600CDA" w:rsidRPr="00AD2E6E" w:rsidRDefault="00600CDA">
            <w:pPr>
              <w:rPr>
                <w:rFonts w:ascii="Arial" w:hAnsi="Arial" w:cs="Arial"/>
              </w:rPr>
            </w:pPr>
          </w:p>
        </w:tc>
      </w:tr>
      <w:tr w:rsidR="007F3C67" w:rsidRPr="00AD2E6E" w:rsidTr="00AD2E6E">
        <w:tc>
          <w:tcPr>
            <w:tcW w:w="1908" w:type="dxa"/>
            <w:vMerge/>
            <w:shd w:val="clear" w:color="auto" w:fill="auto"/>
          </w:tcPr>
          <w:p w:rsidR="007F3C67" w:rsidRPr="00AD2E6E" w:rsidRDefault="007F3C67">
            <w:pPr>
              <w:rPr>
                <w:rFonts w:ascii="Arial" w:hAnsi="Arial" w:cs="Arial"/>
              </w:rPr>
            </w:pPr>
          </w:p>
        </w:tc>
        <w:tc>
          <w:tcPr>
            <w:tcW w:w="7200" w:type="dxa"/>
            <w:shd w:val="clear" w:color="auto" w:fill="auto"/>
          </w:tcPr>
          <w:p w:rsidR="007F3C67" w:rsidRPr="00AD2E6E" w:rsidRDefault="007F3C67">
            <w:pPr>
              <w:rPr>
                <w:rFonts w:ascii="Arial" w:hAnsi="Arial" w:cs="Arial"/>
              </w:rPr>
            </w:pPr>
            <w:r w:rsidRPr="00AD2E6E">
              <w:rPr>
                <w:rFonts w:ascii="Arial" w:hAnsi="Arial" w:cs="Arial"/>
              </w:rPr>
              <w:t>Update records with new locations, type, configuration, line and depth (including special provisions and warnings) or any services located or altered during construction.</w:t>
            </w:r>
          </w:p>
        </w:tc>
        <w:tc>
          <w:tcPr>
            <w:tcW w:w="2520" w:type="dxa"/>
            <w:shd w:val="clear" w:color="auto" w:fill="auto"/>
          </w:tcPr>
          <w:p w:rsidR="007F3C67" w:rsidRPr="00AD2E6E" w:rsidRDefault="007F3C67">
            <w:pPr>
              <w:rPr>
                <w:rFonts w:ascii="Arial" w:hAnsi="Arial" w:cs="Arial"/>
              </w:rPr>
            </w:pPr>
            <w:r w:rsidRPr="00AD2E6E">
              <w:rPr>
                <w:rFonts w:ascii="Arial" w:hAnsi="Arial" w:cs="Arial"/>
              </w:rPr>
              <w:t>Utilities</w:t>
            </w:r>
          </w:p>
        </w:tc>
        <w:tc>
          <w:tcPr>
            <w:tcW w:w="2546" w:type="dxa"/>
            <w:shd w:val="clear" w:color="auto" w:fill="auto"/>
          </w:tcPr>
          <w:p w:rsidR="007F3C67" w:rsidRPr="00AD2E6E" w:rsidRDefault="00600CDA">
            <w:pPr>
              <w:rPr>
                <w:rFonts w:ascii="Arial" w:hAnsi="Arial" w:cs="Arial"/>
                <w:b/>
              </w:rPr>
            </w:pPr>
            <w:r w:rsidRPr="00AD2E6E">
              <w:rPr>
                <w:rFonts w:ascii="Arial" w:hAnsi="Arial" w:cs="Arial"/>
                <w:b/>
              </w:rPr>
              <w:t>NRSWA</w:t>
            </w:r>
          </w:p>
        </w:tc>
      </w:tr>
    </w:tbl>
    <w:p w:rsidR="007434E7" w:rsidRDefault="007434E7"/>
    <w:p w:rsidR="007434E7" w:rsidRDefault="007434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99"/>
        <w:gridCol w:w="7087"/>
      </w:tblGrid>
      <w:tr w:rsidR="00600CDA" w:rsidRPr="00AD2E6E" w:rsidTr="00AD2E6E">
        <w:tc>
          <w:tcPr>
            <w:tcW w:w="14174" w:type="dxa"/>
            <w:gridSpan w:val="3"/>
            <w:shd w:val="clear" w:color="auto" w:fill="auto"/>
          </w:tcPr>
          <w:p w:rsidR="00600CDA" w:rsidRPr="00AD2E6E" w:rsidRDefault="00600CDA">
            <w:pPr>
              <w:rPr>
                <w:rFonts w:ascii="Arial" w:hAnsi="Arial" w:cs="Arial"/>
                <w:b/>
              </w:rPr>
            </w:pPr>
            <w:r w:rsidRPr="00AD2E6E">
              <w:rPr>
                <w:rFonts w:ascii="Arial" w:hAnsi="Arial" w:cs="Arial"/>
                <w:b/>
              </w:rPr>
              <w:t>Notes</w:t>
            </w:r>
          </w:p>
          <w:p w:rsidR="00600CDA" w:rsidRPr="00AD2E6E" w:rsidRDefault="00600CDA">
            <w:pPr>
              <w:rPr>
                <w:rFonts w:ascii="Arial" w:hAnsi="Arial" w:cs="Arial"/>
              </w:rPr>
            </w:pPr>
          </w:p>
          <w:p w:rsidR="00600CDA" w:rsidRPr="00AD2E6E" w:rsidRDefault="00600CDA" w:rsidP="00AD2E6E">
            <w:pPr>
              <w:numPr>
                <w:ilvl w:val="0"/>
                <w:numId w:val="6"/>
              </w:numPr>
              <w:rPr>
                <w:rFonts w:ascii="Arial" w:hAnsi="Arial" w:cs="Arial"/>
              </w:rPr>
            </w:pPr>
            <w:r w:rsidRPr="00AD2E6E">
              <w:rPr>
                <w:rFonts w:ascii="Arial" w:hAnsi="Arial" w:cs="Arial"/>
              </w:rPr>
              <w:t>The CLIENT could be a developer, statutory authority, utility owner or other entity.</w:t>
            </w:r>
          </w:p>
          <w:p w:rsidR="007434E7" w:rsidRPr="00AD2E6E" w:rsidRDefault="007434E7" w:rsidP="00AD2E6E">
            <w:pPr>
              <w:numPr>
                <w:ilvl w:val="0"/>
                <w:numId w:val="6"/>
              </w:numPr>
              <w:rPr>
                <w:rFonts w:ascii="Arial" w:hAnsi="Arial" w:cs="Arial"/>
              </w:rPr>
            </w:pPr>
            <w:r w:rsidRPr="00AD2E6E">
              <w:rPr>
                <w:rFonts w:ascii="Arial" w:hAnsi="Arial" w:cs="Arial"/>
              </w:rPr>
              <w:t>DESIGNERS include anyone who prepares designs for construction work, see CDM ACOP L144 for definition.</w:t>
            </w:r>
          </w:p>
          <w:p w:rsidR="00600CDA" w:rsidRPr="00AD2E6E" w:rsidRDefault="00600CDA" w:rsidP="00AD2E6E">
            <w:pPr>
              <w:numPr>
                <w:ilvl w:val="0"/>
                <w:numId w:val="6"/>
              </w:numPr>
              <w:rPr>
                <w:rFonts w:ascii="Arial" w:hAnsi="Arial" w:cs="Arial"/>
              </w:rPr>
            </w:pPr>
            <w:r w:rsidRPr="00AD2E6E">
              <w:rPr>
                <w:rFonts w:ascii="Arial" w:hAnsi="Arial" w:cs="Arial"/>
              </w:rPr>
              <w:t>CONTRACTOR includes Principal Contractor and Sub-contractors.</w:t>
            </w:r>
          </w:p>
          <w:p w:rsidR="00600CDA" w:rsidRPr="00AD2E6E" w:rsidRDefault="00600CDA" w:rsidP="00AD2E6E">
            <w:pPr>
              <w:numPr>
                <w:ilvl w:val="0"/>
                <w:numId w:val="6"/>
              </w:numPr>
              <w:rPr>
                <w:rFonts w:ascii="Arial" w:hAnsi="Arial" w:cs="Arial"/>
              </w:rPr>
            </w:pPr>
            <w:r w:rsidRPr="00AD2E6E">
              <w:rPr>
                <w:rFonts w:ascii="Arial" w:hAnsi="Arial" w:cs="Arial"/>
              </w:rPr>
              <w:t>‘Underground Services’ means all pipes, cables and equipment associated with electricity, gas, water, sewerage, telecommunications and any associated connections and apparatus.</w:t>
            </w:r>
          </w:p>
          <w:p w:rsidR="00600CDA" w:rsidRPr="00AD2E6E" w:rsidRDefault="00600CDA" w:rsidP="00AD2E6E">
            <w:pPr>
              <w:numPr>
                <w:ilvl w:val="0"/>
                <w:numId w:val="6"/>
              </w:numPr>
              <w:rPr>
                <w:rFonts w:ascii="Arial" w:hAnsi="Arial" w:cs="Arial"/>
              </w:rPr>
            </w:pPr>
            <w:r w:rsidRPr="00AD2E6E">
              <w:rPr>
                <w:rFonts w:ascii="Arial" w:hAnsi="Arial" w:cs="Arial"/>
              </w:rPr>
              <w:t>This document does not cover overhead cables or trenchless technology.  Seek further guidance.</w:t>
            </w:r>
          </w:p>
        </w:tc>
      </w:tr>
      <w:tr w:rsidR="00600CDA" w:rsidRPr="00AD2E6E" w:rsidTr="00AD2E6E">
        <w:trPr>
          <w:trHeight w:val="113"/>
        </w:trPr>
        <w:tc>
          <w:tcPr>
            <w:tcW w:w="7087" w:type="dxa"/>
            <w:gridSpan w:val="2"/>
            <w:shd w:val="clear" w:color="auto" w:fill="D9D9D9"/>
          </w:tcPr>
          <w:p w:rsidR="00600CDA" w:rsidRPr="00AD2E6E" w:rsidRDefault="00600CDA">
            <w:pPr>
              <w:rPr>
                <w:rFonts w:ascii="Arial" w:hAnsi="Arial" w:cs="Arial"/>
                <w:b/>
              </w:rPr>
            </w:pPr>
            <w:r w:rsidRPr="00AD2E6E">
              <w:rPr>
                <w:rFonts w:ascii="Arial" w:hAnsi="Arial" w:cs="Arial"/>
                <w:b/>
              </w:rPr>
              <w:t>Legislation, Codes of Practice and Guidance</w:t>
            </w:r>
          </w:p>
        </w:tc>
        <w:tc>
          <w:tcPr>
            <w:tcW w:w="7087" w:type="dxa"/>
            <w:shd w:val="clear" w:color="auto" w:fill="D9D9D9"/>
          </w:tcPr>
          <w:p w:rsidR="00600CDA" w:rsidRPr="00AD2E6E" w:rsidRDefault="00600CDA">
            <w:pPr>
              <w:rPr>
                <w:rFonts w:ascii="Arial" w:hAnsi="Arial" w:cs="Arial"/>
                <w:b/>
              </w:rPr>
            </w:pPr>
            <w:r w:rsidRPr="00AD2E6E">
              <w:rPr>
                <w:rFonts w:ascii="Arial" w:hAnsi="Arial" w:cs="Arial"/>
                <w:b/>
              </w:rPr>
              <w:t>Further Supporting Evidence</w:t>
            </w:r>
          </w:p>
        </w:tc>
      </w:tr>
      <w:tr w:rsidR="00652967" w:rsidRPr="00AD2E6E" w:rsidTr="00AD2E6E">
        <w:trPr>
          <w:trHeight w:val="112"/>
        </w:trPr>
        <w:tc>
          <w:tcPr>
            <w:tcW w:w="1188" w:type="dxa"/>
            <w:shd w:val="clear" w:color="auto" w:fill="auto"/>
          </w:tcPr>
          <w:p w:rsidR="00652967" w:rsidRPr="00AD2E6E" w:rsidRDefault="00652967">
            <w:pPr>
              <w:rPr>
                <w:rFonts w:ascii="Arial" w:hAnsi="Arial" w:cs="Arial"/>
              </w:rPr>
            </w:pPr>
            <w:r w:rsidRPr="00AD2E6E">
              <w:rPr>
                <w:rFonts w:ascii="Arial" w:hAnsi="Arial" w:cs="Arial"/>
              </w:rPr>
              <w:lastRenderedPageBreak/>
              <w:t>NRSWA HSG47</w:t>
            </w:r>
          </w:p>
          <w:p w:rsidR="00652967" w:rsidRPr="00AD2E6E" w:rsidRDefault="00652967">
            <w:pPr>
              <w:rPr>
                <w:rFonts w:ascii="Arial" w:hAnsi="Arial" w:cs="Arial"/>
              </w:rPr>
            </w:pPr>
            <w:r w:rsidRPr="00AD2E6E">
              <w:rPr>
                <w:rFonts w:ascii="Arial" w:hAnsi="Arial" w:cs="Arial"/>
              </w:rPr>
              <w:t>PUWER</w:t>
            </w:r>
          </w:p>
          <w:p w:rsidR="00652967" w:rsidRPr="00AD2E6E" w:rsidRDefault="00652967">
            <w:pPr>
              <w:rPr>
                <w:rFonts w:ascii="Arial" w:hAnsi="Arial" w:cs="Arial"/>
              </w:rPr>
            </w:pPr>
            <w:r w:rsidRPr="00AD2E6E">
              <w:rPr>
                <w:rFonts w:ascii="Arial" w:hAnsi="Arial" w:cs="Arial"/>
              </w:rPr>
              <w:t>EAW</w:t>
            </w:r>
          </w:p>
          <w:p w:rsidR="00652967" w:rsidRPr="00AD2E6E" w:rsidRDefault="00652967">
            <w:pPr>
              <w:rPr>
                <w:rFonts w:ascii="Arial" w:hAnsi="Arial" w:cs="Arial"/>
              </w:rPr>
            </w:pPr>
            <w:r w:rsidRPr="00AD2E6E">
              <w:rPr>
                <w:rFonts w:ascii="Arial" w:hAnsi="Arial" w:cs="Arial"/>
              </w:rPr>
              <w:t>HSWA</w:t>
            </w:r>
          </w:p>
          <w:p w:rsidR="00652967" w:rsidRPr="00AD2E6E" w:rsidRDefault="00652967">
            <w:pPr>
              <w:rPr>
                <w:rFonts w:ascii="Arial" w:hAnsi="Arial" w:cs="Arial"/>
              </w:rPr>
            </w:pPr>
            <w:r w:rsidRPr="00AD2E6E">
              <w:rPr>
                <w:rFonts w:ascii="Arial" w:hAnsi="Arial" w:cs="Arial"/>
              </w:rPr>
              <w:t>CDM</w:t>
            </w:r>
          </w:p>
          <w:p w:rsidR="00652967" w:rsidRPr="00AD2E6E" w:rsidRDefault="00652967">
            <w:pPr>
              <w:rPr>
                <w:rFonts w:ascii="Arial" w:hAnsi="Arial" w:cs="Arial"/>
              </w:rPr>
            </w:pPr>
            <w:r w:rsidRPr="00AD2E6E">
              <w:rPr>
                <w:rFonts w:ascii="Arial" w:hAnsi="Arial" w:cs="Arial"/>
              </w:rPr>
              <w:t>L144</w:t>
            </w:r>
          </w:p>
          <w:p w:rsidR="00652967" w:rsidRPr="00AD2E6E" w:rsidRDefault="00652967">
            <w:pPr>
              <w:rPr>
                <w:rFonts w:ascii="Arial" w:hAnsi="Arial" w:cs="Arial"/>
              </w:rPr>
            </w:pPr>
            <w:r w:rsidRPr="00AD2E6E">
              <w:rPr>
                <w:rFonts w:ascii="Arial" w:hAnsi="Arial" w:cs="Arial"/>
              </w:rPr>
              <w:t>MHSW</w:t>
            </w:r>
          </w:p>
        </w:tc>
        <w:tc>
          <w:tcPr>
            <w:tcW w:w="5899" w:type="dxa"/>
            <w:shd w:val="clear" w:color="auto" w:fill="auto"/>
          </w:tcPr>
          <w:p w:rsidR="00652967" w:rsidRPr="00AD2E6E" w:rsidRDefault="00652967">
            <w:pPr>
              <w:rPr>
                <w:rFonts w:ascii="Arial" w:hAnsi="Arial" w:cs="Arial"/>
              </w:rPr>
            </w:pPr>
            <w:r w:rsidRPr="00AD2E6E">
              <w:rPr>
                <w:rFonts w:ascii="Arial" w:hAnsi="Arial" w:cs="Arial"/>
              </w:rPr>
              <w:t>New Roads and Streetworks Act 1991</w:t>
            </w:r>
          </w:p>
          <w:p w:rsidR="00652967" w:rsidRPr="00AD2E6E" w:rsidRDefault="00652967">
            <w:pPr>
              <w:rPr>
                <w:rFonts w:ascii="Arial" w:hAnsi="Arial" w:cs="Arial"/>
              </w:rPr>
            </w:pPr>
            <w:r w:rsidRPr="00AD2E6E">
              <w:rPr>
                <w:rFonts w:ascii="Arial" w:hAnsi="Arial" w:cs="Arial"/>
              </w:rPr>
              <w:t xml:space="preserve">Avoidance of Danger from Underground Services </w:t>
            </w:r>
          </w:p>
          <w:p w:rsidR="00652967" w:rsidRPr="00AD2E6E" w:rsidRDefault="00652967">
            <w:pPr>
              <w:rPr>
                <w:rFonts w:ascii="Arial" w:hAnsi="Arial" w:cs="Arial"/>
              </w:rPr>
            </w:pPr>
            <w:r w:rsidRPr="00AD2E6E">
              <w:rPr>
                <w:rFonts w:ascii="Arial" w:hAnsi="Arial" w:cs="Arial"/>
              </w:rPr>
              <w:t>Provision and Use of Work Equipment Regulations</w:t>
            </w:r>
          </w:p>
          <w:p w:rsidR="00652967" w:rsidRPr="00AD2E6E" w:rsidRDefault="00652967" w:rsidP="00652967">
            <w:pPr>
              <w:rPr>
                <w:rFonts w:ascii="Arial" w:hAnsi="Arial" w:cs="Arial"/>
              </w:rPr>
            </w:pPr>
            <w:r w:rsidRPr="00AD2E6E">
              <w:rPr>
                <w:rFonts w:ascii="Arial" w:hAnsi="Arial" w:cs="Arial"/>
              </w:rPr>
              <w:t xml:space="preserve">Electricity at Work Regulations </w:t>
            </w:r>
          </w:p>
          <w:p w:rsidR="00652967" w:rsidRPr="00AD2E6E" w:rsidRDefault="00652967" w:rsidP="00652967">
            <w:pPr>
              <w:rPr>
                <w:rFonts w:ascii="Arial" w:hAnsi="Arial" w:cs="Arial"/>
              </w:rPr>
            </w:pPr>
            <w:r w:rsidRPr="00AD2E6E">
              <w:rPr>
                <w:rFonts w:ascii="Arial" w:hAnsi="Arial" w:cs="Arial"/>
              </w:rPr>
              <w:t>Health and Safety at Work Act 1974</w:t>
            </w:r>
          </w:p>
          <w:p w:rsidR="00652967" w:rsidRPr="00AD2E6E" w:rsidRDefault="00652967" w:rsidP="00652967">
            <w:pPr>
              <w:rPr>
                <w:rFonts w:ascii="Arial" w:hAnsi="Arial" w:cs="Arial"/>
              </w:rPr>
            </w:pPr>
            <w:r w:rsidRPr="00AD2E6E">
              <w:rPr>
                <w:rFonts w:ascii="Arial" w:hAnsi="Arial" w:cs="Arial"/>
              </w:rPr>
              <w:t xml:space="preserve">Construction (Design and Management) Regulations </w:t>
            </w:r>
          </w:p>
          <w:p w:rsidR="00652967" w:rsidRPr="00AD2E6E" w:rsidRDefault="00652967" w:rsidP="00652967">
            <w:pPr>
              <w:rPr>
                <w:rFonts w:ascii="Arial" w:hAnsi="Arial" w:cs="Arial"/>
              </w:rPr>
            </w:pPr>
            <w:r w:rsidRPr="00AD2E6E">
              <w:rPr>
                <w:rFonts w:ascii="Arial" w:hAnsi="Arial" w:cs="Arial"/>
              </w:rPr>
              <w:t>Managing Health and Safety in Construction ACOP</w:t>
            </w:r>
          </w:p>
          <w:p w:rsidR="00652967" w:rsidRPr="00AD2E6E" w:rsidRDefault="00652967" w:rsidP="00652967">
            <w:pPr>
              <w:rPr>
                <w:rFonts w:ascii="Arial" w:hAnsi="Arial" w:cs="Arial"/>
              </w:rPr>
            </w:pPr>
            <w:r w:rsidRPr="00AD2E6E">
              <w:rPr>
                <w:rFonts w:ascii="Arial" w:hAnsi="Arial" w:cs="Arial"/>
              </w:rPr>
              <w:t>Management of Health and Safety at Work Regulations</w:t>
            </w:r>
          </w:p>
        </w:tc>
        <w:tc>
          <w:tcPr>
            <w:tcW w:w="7087" w:type="dxa"/>
            <w:shd w:val="clear" w:color="auto" w:fill="auto"/>
          </w:tcPr>
          <w:p w:rsidR="00652967" w:rsidRPr="00AD2E6E" w:rsidRDefault="00652967">
            <w:pPr>
              <w:rPr>
                <w:rFonts w:ascii="Arial" w:hAnsi="Arial" w:cs="Arial"/>
              </w:rPr>
            </w:pPr>
            <w:r w:rsidRPr="00AD2E6E">
              <w:rPr>
                <w:rFonts w:ascii="Arial" w:hAnsi="Arial" w:cs="Arial"/>
              </w:rPr>
              <w:t>CIRIA Document C604 – CDM – Guidance for Designers</w:t>
            </w:r>
          </w:p>
          <w:p w:rsidR="00652967" w:rsidRPr="00AD2E6E" w:rsidRDefault="00652967" w:rsidP="001C56C2">
            <w:pPr>
              <w:rPr>
                <w:rFonts w:ascii="Arial" w:hAnsi="Arial" w:cs="Arial"/>
              </w:rPr>
            </w:pPr>
            <w:r w:rsidRPr="00AD2E6E">
              <w:rPr>
                <w:rFonts w:ascii="Arial" w:hAnsi="Arial" w:cs="Arial"/>
              </w:rPr>
              <w:t>NJUG</w:t>
            </w:r>
          </w:p>
          <w:p w:rsidR="00652967" w:rsidRPr="00AD2E6E" w:rsidRDefault="00652967" w:rsidP="00AD2E6E">
            <w:pPr>
              <w:numPr>
                <w:ilvl w:val="0"/>
                <w:numId w:val="8"/>
              </w:numPr>
              <w:rPr>
                <w:rFonts w:ascii="Arial" w:hAnsi="Arial" w:cs="Arial"/>
              </w:rPr>
            </w:pPr>
            <w:r w:rsidRPr="00AD2E6E">
              <w:rPr>
                <w:rFonts w:ascii="Arial" w:hAnsi="Arial" w:cs="Arial"/>
              </w:rPr>
              <w:t>*</w:t>
            </w:r>
          </w:p>
          <w:p w:rsidR="00652967" w:rsidRPr="00AD2E6E" w:rsidRDefault="00652967" w:rsidP="00AD2E6E">
            <w:pPr>
              <w:numPr>
                <w:ilvl w:val="0"/>
                <w:numId w:val="8"/>
              </w:numPr>
              <w:rPr>
                <w:rFonts w:ascii="Arial" w:hAnsi="Arial" w:cs="Arial"/>
              </w:rPr>
            </w:pPr>
            <w:r w:rsidRPr="00AD2E6E">
              <w:rPr>
                <w:rFonts w:ascii="Arial" w:hAnsi="Arial" w:cs="Arial"/>
              </w:rPr>
              <w:t>*</w:t>
            </w:r>
          </w:p>
          <w:p w:rsidR="00652967" w:rsidRPr="00AD2E6E" w:rsidRDefault="00652967" w:rsidP="00AD2E6E">
            <w:pPr>
              <w:numPr>
                <w:ilvl w:val="0"/>
                <w:numId w:val="8"/>
              </w:numPr>
              <w:rPr>
                <w:rFonts w:ascii="Arial" w:hAnsi="Arial" w:cs="Arial"/>
              </w:rPr>
            </w:pPr>
            <w:r w:rsidRPr="00AD2E6E">
              <w:rPr>
                <w:rFonts w:ascii="Arial" w:hAnsi="Arial" w:cs="Arial"/>
              </w:rPr>
              <w:t>*</w:t>
            </w:r>
          </w:p>
        </w:tc>
      </w:tr>
    </w:tbl>
    <w:p w:rsidR="00583BE2" w:rsidRPr="00F00BE3" w:rsidRDefault="00583BE2">
      <w:pPr>
        <w:rPr>
          <w:rFonts w:ascii="Arial" w:hAnsi="Arial" w:cs="Arial"/>
        </w:rPr>
      </w:pPr>
    </w:p>
    <w:sectPr w:rsidR="00583BE2" w:rsidRPr="00F00BE3" w:rsidSect="007C604C">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0A8" w:rsidRDefault="003A60A8">
      <w:r>
        <w:separator/>
      </w:r>
    </w:p>
  </w:endnote>
  <w:endnote w:type="continuationSeparator" w:id="0">
    <w:p w:rsidR="003A60A8" w:rsidRDefault="003A6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AF" w:rsidRDefault="00A81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C2" w:rsidRDefault="00A81DAF" w:rsidP="00A81DAF">
    <w:pPr>
      <w:pStyle w:val="Footer"/>
      <w:tabs>
        <w:tab w:val="left" w:pos="4635"/>
        <w:tab w:val="right" w:pos="13958"/>
      </w:tabs>
    </w:pPr>
    <w:r>
      <w:tab/>
    </w:r>
    <w:r>
      <w:tab/>
    </w:r>
    <w:r>
      <w:tab/>
    </w:r>
    <w:r>
      <w:tab/>
    </w:r>
    <w:r w:rsidR="001C56C2">
      <w:t xml:space="preserve">Page </w:t>
    </w:r>
    <w:fldSimple w:instr=" PAGE ">
      <w:r w:rsidR="00380993">
        <w:rPr>
          <w:noProof/>
        </w:rPr>
        <w:t>6</w:t>
      </w:r>
    </w:fldSimple>
    <w:r w:rsidR="001C56C2">
      <w:t xml:space="preserve"> of </w:t>
    </w:r>
    <w:fldSimple w:instr=" NUMPAGES ">
      <w:r w:rsidR="00380993">
        <w:rPr>
          <w:noProof/>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AF" w:rsidRDefault="00A81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0A8" w:rsidRDefault="003A60A8">
      <w:r>
        <w:separator/>
      </w:r>
    </w:p>
  </w:footnote>
  <w:footnote w:type="continuationSeparator" w:id="0">
    <w:p w:rsidR="003A60A8" w:rsidRDefault="003A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AF" w:rsidRDefault="00A81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AF" w:rsidRPr="001C56C2" w:rsidRDefault="00A81DAF" w:rsidP="001C56C2">
    <w:pPr>
      <w:pStyle w:val="Heade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7"/>
      <w:gridCol w:w="7087"/>
    </w:tblGrid>
    <w:tr w:rsidR="00A81DAF" w:rsidRPr="00AD2E6E" w:rsidTr="00AD2E6E">
      <w:tc>
        <w:tcPr>
          <w:tcW w:w="7087" w:type="dxa"/>
          <w:vMerge w:val="restart"/>
          <w:shd w:val="clear" w:color="auto" w:fill="auto"/>
        </w:tcPr>
        <w:p w:rsidR="00A81DAF" w:rsidRPr="00AD2E6E" w:rsidRDefault="00A81DAF" w:rsidP="00A81DAF">
          <w:pPr>
            <w:pStyle w:val="Header"/>
            <w:rPr>
              <w:rFonts w:ascii="Arial" w:hAnsi="Arial" w:cs="Arial"/>
              <w:sz w:val="32"/>
              <w:szCs w:val="32"/>
            </w:rPr>
          </w:pPr>
          <w:r w:rsidRPr="00AD2E6E">
            <w:rPr>
              <w:rFonts w:ascii="Arial" w:hAnsi="Arial" w:cs="Arial"/>
              <w:sz w:val="32"/>
              <w:szCs w:val="32"/>
            </w:rPr>
            <w:t>Utility Strike Avoidance Group</w:t>
          </w:r>
        </w:p>
      </w:tc>
      <w:tc>
        <w:tcPr>
          <w:tcW w:w="7087" w:type="dxa"/>
          <w:shd w:val="clear" w:color="auto" w:fill="auto"/>
        </w:tcPr>
        <w:p w:rsidR="00A81DAF" w:rsidRPr="00AD2E6E" w:rsidRDefault="00A81DAF" w:rsidP="00AD2E6E">
          <w:pPr>
            <w:pStyle w:val="Header"/>
            <w:jc w:val="right"/>
            <w:rPr>
              <w:rFonts w:ascii="Arial" w:hAnsi="Arial" w:cs="Arial"/>
              <w:sz w:val="32"/>
              <w:szCs w:val="32"/>
            </w:rPr>
          </w:pPr>
          <w:r w:rsidRPr="00AD2E6E">
            <w:rPr>
              <w:rFonts w:ascii="Arial" w:hAnsi="Arial" w:cs="Arial"/>
              <w:sz w:val="32"/>
              <w:szCs w:val="32"/>
            </w:rPr>
            <w:t>PROTOCOL FOR THE MANAGEMENT OF UNDERGROUND SERVICES</w:t>
          </w:r>
        </w:p>
      </w:tc>
    </w:tr>
    <w:tr w:rsidR="00A81DAF" w:rsidRPr="00AD2E6E" w:rsidTr="00AD2E6E">
      <w:tc>
        <w:tcPr>
          <w:tcW w:w="7087" w:type="dxa"/>
          <w:vMerge/>
          <w:shd w:val="clear" w:color="auto" w:fill="auto"/>
        </w:tcPr>
        <w:p w:rsidR="00A81DAF" w:rsidRPr="00AD2E6E" w:rsidRDefault="00A81DAF" w:rsidP="00AD2E6E">
          <w:pPr>
            <w:pStyle w:val="Header"/>
            <w:jc w:val="center"/>
            <w:rPr>
              <w:rFonts w:ascii="Arial" w:hAnsi="Arial" w:cs="Arial"/>
              <w:sz w:val="32"/>
              <w:szCs w:val="32"/>
            </w:rPr>
          </w:pPr>
        </w:p>
      </w:tc>
      <w:tc>
        <w:tcPr>
          <w:tcW w:w="7087" w:type="dxa"/>
          <w:shd w:val="clear" w:color="auto" w:fill="auto"/>
        </w:tcPr>
        <w:p w:rsidR="00A81DAF" w:rsidRPr="00AD2E6E" w:rsidRDefault="00A81DAF" w:rsidP="00AD2E6E">
          <w:pPr>
            <w:pStyle w:val="Header"/>
            <w:jc w:val="right"/>
            <w:rPr>
              <w:rFonts w:ascii="Arial" w:hAnsi="Arial" w:cs="Arial"/>
              <w:sz w:val="32"/>
              <w:szCs w:val="32"/>
            </w:rPr>
          </w:pPr>
          <w:r w:rsidRPr="00AD2E6E">
            <w:rPr>
              <w:rFonts w:ascii="Arial" w:hAnsi="Arial" w:cs="Arial"/>
              <w:sz w:val="32"/>
              <w:szCs w:val="32"/>
            </w:rPr>
            <w:t>Document Reference – TK1a</w:t>
          </w:r>
        </w:p>
      </w:tc>
    </w:tr>
    <w:tr w:rsidR="00A81DAF" w:rsidRPr="00AD2E6E" w:rsidTr="00AD2E6E">
      <w:tc>
        <w:tcPr>
          <w:tcW w:w="7087" w:type="dxa"/>
          <w:vMerge/>
          <w:shd w:val="clear" w:color="auto" w:fill="auto"/>
        </w:tcPr>
        <w:p w:rsidR="00A81DAF" w:rsidRPr="00AD2E6E" w:rsidRDefault="00A81DAF" w:rsidP="00AD2E6E">
          <w:pPr>
            <w:pStyle w:val="Header"/>
            <w:jc w:val="center"/>
            <w:rPr>
              <w:rFonts w:ascii="Arial" w:hAnsi="Arial" w:cs="Arial"/>
              <w:sz w:val="32"/>
              <w:szCs w:val="32"/>
            </w:rPr>
          </w:pPr>
        </w:p>
      </w:tc>
      <w:tc>
        <w:tcPr>
          <w:tcW w:w="7087" w:type="dxa"/>
          <w:shd w:val="clear" w:color="auto" w:fill="auto"/>
        </w:tcPr>
        <w:p w:rsidR="00A81DAF" w:rsidRPr="00AD2E6E" w:rsidRDefault="00A81DAF" w:rsidP="00AD2E6E">
          <w:pPr>
            <w:pStyle w:val="Header"/>
            <w:jc w:val="right"/>
            <w:rPr>
              <w:rFonts w:ascii="Arial" w:hAnsi="Arial" w:cs="Arial"/>
              <w:sz w:val="32"/>
              <w:szCs w:val="32"/>
            </w:rPr>
          </w:pPr>
          <w:r w:rsidRPr="00AD2E6E">
            <w:rPr>
              <w:rFonts w:ascii="Arial" w:hAnsi="Arial" w:cs="Arial"/>
              <w:sz w:val="32"/>
              <w:szCs w:val="32"/>
            </w:rPr>
            <w:t>January 2012</w:t>
          </w:r>
        </w:p>
      </w:tc>
    </w:tr>
  </w:tbl>
  <w:p w:rsidR="001C56C2" w:rsidRPr="001C56C2" w:rsidRDefault="001C56C2" w:rsidP="001C56C2">
    <w:pPr>
      <w:pStyle w:val="Header"/>
      <w:jc w:val="center"/>
      <w:rPr>
        <w:rFonts w:ascii="Arial" w:hAnsi="Arial" w:cs="Arial"/>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AF" w:rsidRDefault="00A81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E20"/>
    <w:multiLevelType w:val="hybridMultilevel"/>
    <w:tmpl w:val="3E5A8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BA4DCA"/>
    <w:multiLevelType w:val="hybridMultilevel"/>
    <w:tmpl w:val="FC803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500BED"/>
    <w:multiLevelType w:val="hybridMultilevel"/>
    <w:tmpl w:val="491C0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A570B7"/>
    <w:multiLevelType w:val="hybridMultilevel"/>
    <w:tmpl w:val="CAFEE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0479BD"/>
    <w:multiLevelType w:val="hybridMultilevel"/>
    <w:tmpl w:val="0F5ED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7C4153"/>
    <w:multiLevelType w:val="hybridMultilevel"/>
    <w:tmpl w:val="8580F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881820"/>
    <w:multiLevelType w:val="hybridMultilevel"/>
    <w:tmpl w:val="66647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1911401"/>
    <w:multiLevelType w:val="hybridMultilevel"/>
    <w:tmpl w:val="3F44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7C604C"/>
    <w:rsid w:val="00026980"/>
    <w:rsid w:val="00090FD1"/>
    <w:rsid w:val="001C56C2"/>
    <w:rsid w:val="00317331"/>
    <w:rsid w:val="00380993"/>
    <w:rsid w:val="003A60A8"/>
    <w:rsid w:val="003E0BF8"/>
    <w:rsid w:val="00481934"/>
    <w:rsid w:val="00523254"/>
    <w:rsid w:val="00583BE2"/>
    <w:rsid w:val="00600CDA"/>
    <w:rsid w:val="00616C80"/>
    <w:rsid w:val="00652967"/>
    <w:rsid w:val="007434E7"/>
    <w:rsid w:val="00756CB5"/>
    <w:rsid w:val="007C604C"/>
    <w:rsid w:val="007F3C67"/>
    <w:rsid w:val="008A4DA5"/>
    <w:rsid w:val="009702C3"/>
    <w:rsid w:val="00A81DAF"/>
    <w:rsid w:val="00AD2E6E"/>
    <w:rsid w:val="00C86FBB"/>
    <w:rsid w:val="00EC1341"/>
    <w:rsid w:val="00F00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6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56C2"/>
    <w:pPr>
      <w:tabs>
        <w:tab w:val="center" w:pos="4153"/>
        <w:tab w:val="right" w:pos="8306"/>
      </w:tabs>
    </w:pPr>
  </w:style>
  <w:style w:type="paragraph" w:styleId="Footer">
    <w:name w:val="footer"/>
    <w:basedOn w:val="Normal"/>
    <w:rsid w:val="001C56C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North Midland Construction</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David Burgess</dc:creator>
  <cp:lastModifiedBy>Sony</cp:lastModifiedBy>
  <cp:revision>2</cp:revision>
  <dcterms:created xsi:type="dcterms:W3CDTF">2015-07-09T15:16:00Z</dcterms:created>
  <dcterms:modified xsi:type="dcterms:W3CDTF">2015-07-09T15:16:00Z</dcterms:modified>
</cp:coreProperties>
</file>